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c3dd" w14:textId="6bfc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ноября 2010 года № 174. Зарегистрировано в Министерстве юстиции Республики Казахстан 30 декабря 2010 года № 6717.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изменения и дополнения в некоторые нормативные правовые акты Агентства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Казахстан, за исключением частей шестой, восьмой, девятой Пояснений к таблице "Размер резервов (провизии) на покрытие возможных потерь от обесценения или уменьшения стоимости ценных бумаг"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о нормативных значениях пруденциальных нормативов, методике их расчетов для организаций, осуществляющих инвестиционное управление пенсионными активами, утвержденной постановлением Правления Агентства от 5 августа 2009 года № 181, которые вводятся в действие с 1 марта 2011 года (далее - Пояснения).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частей пятой и седьмой Пояснений распространяется до 1 марта 2011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стратегии и анализа (Абдрахманов Н.А.):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Объединений юридических лиц "Ассоциация финансистов Казахстана", "Национальная экономическая палата Казахстана "Союз "Атамекен".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Департаменту информационных технологий (Тусупов К.А.) обеспечить доработку автоматизированной информационной подсистемы "Автоматизация формирования отчетности накопительных пенсионных фондов и профессиональных участников рынка ценных бумаг" в срок до 31 декабря 2010 года.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 Контроль за исполнением настоящего постановления возложить на заместителя Председателя Агентства Алдамберген А.У.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2010 года № 174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регулированию и надзору финансового рынка и финансовых</w:t>
      </w:r>
      <w:r>
        <w:br/>
      </w:r>
      <w:r>
        <w:rPr>
          <w:rFonts w:ascii="Times New Roman"/>
          <w:b/>
          <w:i w:val="false"/>
          <w:color w:val="000000"/>
        </w:rPr>
        <w:t>организаций, в которые вносятся изменения и дополнения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1. 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5 августа 2009 года № 185 "О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организаций, осуществляющих брокерскую и дилерскую деятельность на рынке ценных бумаг, организаций, осуществляющих деятельность по ведению системы реестров держателей ценных бумаг, организаций, осуществляющих управление инвестиционным портфелем" (зарегистрированное в Реестре государственной регистрации нормативных правовых актов под № 5777) следующее изменение: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"2011" заменить цифрами "2012".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29 декабря 2009 года № 261 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 октября 2008 года № 148 "Об утверждении Правил инвестирования активов акционерного общества "Фонд гарантирования страховых выплат" (зарегистрированное в Реестре государственной регистрации нормативных правовых актов под № 6030) следующее изменение:</w:t>
      </w:r>
    </w:p>
    <w:bookmarkEnd w:id="14"/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"1 июля 2011 года" заменить словами и цифрами "1 января 2012 года".</w:t>
      </w:r>
    </w:p>
    <w:bookmarkEnd w:id="15"/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29 декабря 2009 года № 266 "О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накопительных пенсионных фондов, организаций, осуществляющих инвестиционное управление пенсионными активами, и организаций, совмещающих виды профессиональной деятельности на рынке ценных бумаг" (зарегистрированное в Реестре государственной регистрации нормативных правовых актов под № 6041) следующие изменения:</w:t>
      </w:r>
    </w:p>
    <w:bookmarkEnd w:id="16"/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абзацы восемьдесят второй, восемьдесят третий и восемьдесят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7"/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абзацы восемьдесят шестой, восемьдесят седьмой и восемьдесят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8"/>
    <w:bookmarkStart w:name="z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абзацы пятьдесят пятый, пятьдесят шестой и пятьдесят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9"/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слова ", с восемьдесят второго по восемьдесят четвертый" исключить;</w:t>
      </w:r>
    </w:p>
    <w:bookmarkEnd w:id="21"/>
    <w:bookmarkStart w:name="z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слова ", с восемьдесят шестого по восемьдесят восьмой" исключить;</w:t>
      </w:r>
    </w:p>
    <w:bookmarkEnd w:id="22"/>
    <w:bookmarkStart w:name="z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слова "с пятьдесят пятого по пятьдесят седьмой," исключить.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изменений и дополнений,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нормативных значениях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нормативов, методике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 для 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пенсионными активами</w:t>
            </w:r>
          </w:p>
        </w:tc>
      </w:tr>
    </w:tbl>
    <w:bookmarkStart w:name="z8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Размер резервов (провизии) на покрытие возможных потерь от</w:t>
      </w:r>
      <w:r>
        <w:br/>
      </w:r>
      <w:r>
        <w:rPr>
          <w:rFonts w:ascii="Times New Roman"/>
          <w:b/>
          <w:i w:val="false"/>
          <w:color w:val="000000"/>
        </w:rPr>
        <w:t>обесценения или размер уменьшения стоимости ценных бумаг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2"/>
        <w:gridCol w:w="1794"/>
        <w:gridCol w:w="7014"/>
      </w:tblGrid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ценных бумаг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размер резервов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(провизии)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Сомнительная 1 категории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Сомнительная 2 категории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Сомнительная 3 категории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(35 %)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Неудовлетворительная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(70 %)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Безнадежная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к таблице</w:t>
      </w:r>
    </w:p>
    <w:bookmarkEnd w:id="25"/>
    <w:bookmarkStart w:name="z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использовании данных критерий для обесценения ценных бумаг или уменьшения стоимости ценных бумаг при наличии рейтинговой оценки и категории листинга в расчет принимается рейтинговая оценка.</w:t>
      </w:r>
    </w:p>
    <w:bookmarkEnd w:id="26"/>
    <w:bookmarkStart w:name="z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получении суммы баллов до 1 (включительно) ценная бумага классифицируется как стандартная.</w:t>
      </w:r>
    </w:p>
    <w:bookmarkEnd w:id="27"/>
    <w:bookmarkStart w:name="z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сумме баллов равной от 2 до 4 (включительно) ценная бумага классифицируется как сомнительная 1 категории, формируется 10 (десять) процентов провизии.</w:t>
      </w:r>
    </w:p>
    <w:bookmarkEnd w:id="28"/>
    <w:bookmarkStart w:name="z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сумме баллов равной от 5 до 7 (включительно) ценная бумага классифицируется как сомнительная 2 категории, формируется 15 (пятнадцать) процентов провизии.</w:t>
      </w:r>
    </w:p>
    <w:bookmarkEnd w:id="29"/>
    <w:bookmarkStart w:name="z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сумме баллов равной от 8 до 10 (включительно) ценная бумага классифицируется как сомнительная 3 категории, формируется 25 (двадцать пять) процентов провизии.</w:t>
      </w:r>
    </w:p>
    <w:bookmarkEnd w:id="30"/>
    <w:bookmarkStart w:name="z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сумме баллов равной от 8 до 10 (включительно) ценная бумага классифицируется как сомнительная 3 категории, формируется:</w:t>
      </w:r>
    </w:p>
    <w:bookmarkEnd w:id="31"/>
    <w:bookmarkStart w:name="z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 (двадцать пять) процентов провизии по облигациям;</w:t>
      </w:r>
    </w:p>
    <w:bookmarkEnd w:id="32"/>
    <w:bookmarkStart w:name="z9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 (тридцать пять) процентов провизии по акциям.</w:t>
      </w:r>
    </w:p>
    <w:bookmarkEnd w:id="33"/>
    <w:bookmarkStart w:name="z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сумме баллов равной от 10 до 12 (включительно) ценная бумага классифицируется как неудовлетворительная, формируется 50 (пятьдесят) процентов провизии.</w:t>
      </w:r>
    </w:p>
    <w:bookmarkEnd w:id="34"/>
    <w:bookmarkStart w:name="z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сумме баллов равной от 10 до 12 (включительно) ценная бумага классифицируется как неудовлетворительная, формируется:</w:t>
      </w:r>
    </w:p>
    <w:bookmarkEnd w:id="35"/>
    <w:bookmarkStart w:name="z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 (пятьдесят) процентов провизии по облигациям;</w:t>
      </w:r>
    </w:p>
    <w:bookmarkEnd w:id="36"/>
    <w:bookmarkStart w:name="z9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70 (семьдесят) процентов провизии по акциям.</w:t>
      </w:r>
    </w:p>
    <w:bookmarkEnd w:id="37"/>
    <w:bookmarkStart w:name="z1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сумме свыше 12 ценная бумага классифицируется как безнадежная, формируется 90 (девяносто) процентов провизии. В случае если долговая ценная бумага эмитента классифицируется как безнадежная, то акция данного эмитента единовременно списывается до нуля.</w:t>
      </w:r>
    </w:p>
    <w:bookmarkEnd w:id="38"/>
    <w:bookmarkStart w:name="z1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банкротства эмитента ценной бумаги данная ценная бумага единовременно списывается до нуля.".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