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b58f" w14:textId="7f1b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февраля 2010 года № 9. Зарегистрировано в Министерстве юстиции Республики Казахстан 3 марта 2010 года № 6099.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Республики Казахстан по вопросам рынка ценных бумаг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2010 года № 9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 и дополнений,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нормативные правовые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рынка ценных бумаг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нормативные правовые акты Республики Казахстан по вопросам рынка ценных бумаг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21.09.2012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2005 года № 165 "Об утверждении Правил представления отчета о совершенных сделках по инвестированию активов клиентов и собственных активов управляющими инвестиционным портфелем" (зарегистрированное в Реестре государственной регистрации нормативных правовых актов под № 3700):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отчета о совершенных сделках по инвестированию активов клиентов и собственных активов управляющим инвестиционным портфелем,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цифры "3" дополнить знаком препинания и цифрой ", 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дополнений и изменений,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вносятся в некоторые нормативные правовые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ценных бумаг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дополнений и изменений,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вносятся в некоторые нормативные правовые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ценных бумаг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Перечню дополнений и изменений,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вносятся в некоторые нормативные правовые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ценных бумаг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сделках по инвестированию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клиентов и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активов клиентов и</w:t>
      </w:r>
      <w:r>
        <w:br/>
      </w:r>
      <w:r>
        <w:rPr>
          <w:rFonts w:ascii="Times New Roman"/>
          <w:b/>
          <w:i w:val="false"/>
          <w:color w:val="000000"/>
        </w:rPr>
        <w:t>
собственных активов (наименование управляющего инвестиционным</w:t>
      </w:r>
      <w:r>
        <w:br/>
      </w:r>
      <w:r>
        <w:rPr>
          <w:rFonts w:ascii="Times New Roman"/>
          <w:b/>
          <w:i w:val="false"/>
          <w:color w:val="000000"/>
        </w:rPr>
        <w:t>
портфелем в родительном падеже) с аффилиированными лицами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с ____________ по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703"/>
        <w:gridCol w:w="1676"/>
        <w:gridCol w:w="1772"/>
        <w:gridCol w:w="1620"/>
        <w:gridCol w:w="1221"/>
        <w:gridCol w:w="1602"/>
        <w:gridCol w:w="1468"/>
        <w:gridCol w:w="1526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(СА/КА)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51"/>
        <w:gridCol w:w="1798"/>
        <w:gridCol w:w="1610"/>
        <w:gridCol w:w="1538"/>
        <w:gridCol w:w="1538"/>
        <w:gridCol w:w="1654"/>
        <w:gridCol w:w="16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финансового инструмента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заполнению Отчета о совершенных сделках по инвестированию активов клиентов и собственных активов с аффилиированными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и представляется в уполномоченный орган в отношении активов закрытых паевых инвестиционных фондов рискового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собственные или клиентские активы управляющего инвестиционным портфелем. В случае, если сделка заключена за счет клиентских активов, заполняются столбцы 2 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признак, в соответствии с которым клиент признается по отношению к управляющему инвестиционным портфелем аффилиированным лицом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совершения сделки в формате "дата/месяц/год".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фондовой биржи, в торговой системе которой осуществлена сделка, и страна ее резидентства в формате "наименование фондовой биржи/страна" либо то, что сделка совершена не на фондовой бирже в формате "неорганизованный рынок", либо "на международном рынке".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сделки (покупка, продажа, операции открытия и закрытия "репо", заключение договора банковского вклада и иные сделки.) По операциям "репо" также указывается вид операций "репо": прямое или обратное "репо". По сделкам, заключенным в торговой системе фондовой биржи, в столбце "Примечание" указывается метод заключения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Используется символ "В" в случае, если организация обладающая лицензией на осуществление брокерской и дилерской деятельности на рынке ценных бумаг, выступала в качестве брокера (с указанием лица в интересах которого выступал брокер) и символ "D" в случае, если организация, обладающая лицензией на осуществление брокерской и дилерской деятельности на рынке ценных бумаг, выступала в качестве дилера. В случае открытия банковского вклада указывается наименование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признак, в соответствии с которым контрпартнер признается по отношению к управляющему инвестиционным портфелем аффилиированным лицом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Столбцы 11, 12 и 13 заполняются для сделок по покупке, продаже, погашению, операции обратного "репо" - открытие/закрытие.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без учета расходов, связанных с исполнением сделки (покупка, продажа, погашение, операция обратного "репо" - открытие/закрытие и прочее), с учетом накопленного вознаграждения (открытие банковского вклада)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окончания договора банковского вклада в формате "дата/месяц/год"."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