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1e6d" w14:textId="9bc1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29 марта 2010 года № 40. Зарегистрировано в Министерстве юстиции Республики Казахстан 27 апреля 2010 года № 6189. Утратило силу постановлением Правления Национального Банка Республики Казахстан от 22 октября 2014 года № 189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22.10.2014 </w:t>
      </w:r>
      <w:r>
        <w:rPr>
          <w:rFonts w:ascii="Times New Roman"/>
          <w:b w:val="false"/>
          <w:i w:val="false"/>
          <w:color w:val="ff0000"/>
          <w:sz w:val="28"/>
        </w:rPr>
        <w:t>№ 189</w:t>
      </w:r>
      <w:r>
        <w:rPr>
          <w:rFonts w:ascii="Times New Roman"/>
          <w:b w:val="false"/>
          <w:i w:val="false"/>
          <w:color w:val="ff0000"/>
          <w:sz w:val="28"/>
        </w:rPr>
        <w:t xml:space="preserve"> (вводится в действие с 01.01.2015).</w:t>
      </w:r>
    </w:p>
    <w:bookmarkStart w:name="z2" w:id="0"/>
    <w:p>
      <w:pPr>
        <w:spacing w:after="0"/>
        <w:ind w:left="0"/>
        <w:jc w:val="both"/>
      </w:pPr>
      <w:r>
        <w:rPr>
          <w:rFonts w:ascii="Times New Roman"/>
          <w:b w:val="false"/>
          <w:i w:val="false"/>
          <w:color w:val="000000"/>
          <w:sz w:val="28"/>
        </w:rPr>
        <w:t xml:space="preserve">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Реестре государственной регистрации нормативных правовых актов под № 5251, опубликованное 15 сентября 2008 года в Собрании актов центральных исполнительных и иных центральных государственных органов Республики Казахстан, № 9)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исламские ценные бумаги - исламские арендные сертификаты и исламские сертификаты участия;";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реструктуризация обязательств эмитента - комплекс административных, юридических, финансовых, организационно-технических и других мероприятий и процедур, реализуемых эмитентом на основании плана реструктуризации, утвержденного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либо плана реабилитации, утвержденного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января 1997 года "О банкротстве".";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w:t>
      </w:r>
      <w:r>
        <w:rPr>
          <w:rFonts w:ascii="Times New Roman"/>
          <w:b w:val="false"/>
          <w:i w:val="false"/>
          <w:color w:val="000000"/>
          <w:sz w:val="28"/>
        </w:rPr>
        <w:t xml:space="preserve"> после слов "уполномоченным органом" дополнить словами "по регулированию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в части третьей </w:t>
      </w:r>
      <w:r>
        <w:rPr>
          <w:rFonts w:ascii="Times New Roman"/>
          <w:b w:val="false"/>
          <w:i w:val="false"/>
          <w:color w:val="000000"/>
          <w:sz w:val="28"/>
        </w:rPr>
        <w:t>пункта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7)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исламские ценные бумаги.";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"10-1. Для включения долговых ценных бумаг Акционерного общества "Фонд национального благосостояния "Самрук-Казына" в сектор "долговые ценные бумаги" категории "долговые ценные бумаги с рейтинговой оценкой (наивысшая категория)" официального списка фондовой биржи и их нахождения в нем данные долговые ценные бумаги и их эмитент должны соответствовать требованиям, установленным подпунктами 1), 3), 6), 7) и 8) пункта 8 настоящего постановления.</w:t>
      </w:r>
      <w:r>
        <w:br/>
      </w:r>
      <w:r>
        <w:rPr>
          <w:rFonts w:ascii="Times New Roman"/>
          <w:b w:val="false"/>
          <w:i w:val="false"/>
          <w:color w:val="000000"/>
          <w:sz w:val="28"/>
        </w:rPr>
        <w:t>
      Перечень информации, раскрываемой Акционерным обществом "Фонд национального благосостояния "Самрук-Казына", определяется внутренними документами фондовой биржи.";</w:t>
      </w:r>
      <w:r>
        <w:br/>
      </w:r>
      <w:r>
        <w:rPr>
          <w:rFonts w:ascii="Times New Roman"/>
          <w:b w:val="false"/>
          <w:i w:val="false"/>
          <w:color w:val="000000"/>
          <w:sz w:val="28"/>
        </w:rPr>
        <w:t>
</w:t>
      </w:r>
      <w:r>
        <w:rPr>
          <w:rFonts w:ascii="Times New Roman"/>
          <w:b w:val="false"/>
          <w:i w:val="false"/>
          <w:color w:val="000000"/>
          <w:sz w:val="28"/>
        </w:rPr>
        <w:t>
      дополнить пунктами 11-1, 11-2 и 11-3 следующего содержания:</w:t>
      </w:r>
      <w:r>
        <w:br/>
      </w:r>
      <w:r>
        <w:rPr>
          <w:rFonts w:ascii="Times New Roman"/>
          <w:b w:val="false"/>
          <w:i w:val="false"/>
          <w:color w:val="000000"/>
          <w:sz w:val="28"/>
        </w:rPr>
        <w:t>
      "11-1. Сектор "исламские ценные бумаги" подразделяется на две категории: исламские арендные сертификаты и исламские сертификаты участия.</w:t>
      </w:r>
      <w:r>
        <w:br/>
      </w:r>
      <w:r>
        <w:rPr>
          <w:rFonts w:ascii="Times New Roman"/>
          <w:b w:val="false"/>
          <w:i w:val="false"/>
          <w:color w:val="000000"/>
          <w:sz w:val="28"/>
        </w:rPr>
        <w:t>
      11-2. Для включения исламских ценных бумаг в сектор "исламские ценные бумаги" категории "исламские арендные сертификаты" официального списка фондовой биржи и их нахождения в нем данные ценные бумаги, их эмитент и оригинатор должны соответствовать следующим требованиям:</w:t>
      </w:r>
      <w:r>
        <w:br/>
      </w:r>
      <w:r>
        <w:rPr>
          <w:rFonts w:ascii="Times New Roman"/>
          <w:b w:val="false"/>
          <w:i w:val="false"/>
          <w:color w:val="000000"/>
          <w:sz w:val="28"/>
        </w:rPr>
        <w:t>
      1) эмитент является юридическим лицом, созданным в организационно-правовой форме акционерного общества либо товарищества с ограниченной ответственностью;</w:t>
      </w:r>
      <w:r>
        <w:br/>
      </w:r>
      <w:r>
        <w:rPr>
          <w:rFonts w:ascii="Times New Roman"/>
          <w:b w:val="false"/>
          <w:i w:val="false"/>
          <w:color w:val="000000"/>
          <w:sz w:val="28"/>
        </w:rPr>
        <w:t>
      2) государственная регистрация оригинатора осуществлена не менее чем за три года до дня подачи заявления о включении исламских ценных бумаг в официальный список фондовой биржи. В соответствии с внутренними документами фондовой биржи допускается произведение зачета срока существования организации (организаций), в результате реорганизации которой (которых) был создан оригинатор;</w:t>
      </w:r>
      <w:r>
        <w:br/>
      </w:r>
      <w:r>
        <w:rPr>
          <w:rFonts w:ascii="Times New Roman"/>
          <w:b w:val="false"/>
          <w:i w:val="false"/>
          <w:color w:val="000000"/>
          <w:sz w:val="28"/>
        </w:rPr>
        <w:t>
      3) рейтинговая оценка присвоена исламской ценной бумаге и оригинатору одним из рейтинговых агентств, входящих в перечень рейтинговых агентств, рейтинговые оценки которых признаются фондовой биржей по согласованию с уполномоченным органом по регулированию и надзору финансового рынка и финансовых организаций. При этом фондовая биржа принимает во внимание только ту рейтинговую оценку, которая была присвоена (подтверждена, обновлена) в течение последних двенадцати месяцев. При наличии рейтинговых оценок, присвоенных несколькими рейтинговыми агентствами, принимается во внимание последняя из этих оценок;</w:t>
      </w:r>
      <w:r>
        <w:br/>
      </w:r>
      <w:r>
        <w:rPr>
          <w:rFonts w:ascii="Times New Roman"/>
          <w:b w:val="false"/>
          <w:i w:val="false"/>
          <w:color w:val="000000"/>
          <w:sz w:val="28"/>
        </w:rPr>
        <w:t>
      4) оригинатор составляет финансовую отчетность в соответствии с МСФО или СФО США;</w:t>
      </w:r>
      <w:r>
        <w:br/>
      </w:r>
      <w:r>
        <w:rPr>
          <w:rFonts w:ascii="Times New Roman"/>
          <w:b w:val="false"/>
          <w:i w:val="false"/>
          <w:color w:val="000000"/>
          <w:sz w:val="28"/>
        </w:rPr>
        <w:t>
      5) инициатор допуска предоставляет финансовую отчетность оригинатора, подтвержденную аудиторским отчетом, не менее чем за:</w:t>
      </w:r>
      <w:r>
        <w:br/>
      </w:r>
      <w:r>
        <w:rPr>
          <w:rFonts w:ascii="Times New Roman"/>
          <w:b w:val="false"/>
          <w:i w:val="false"/>
          <w:color w:val="000000"/>
          <w:sz w:val="28"/>
        </w:rPr>
        <w:t>
      последние три завершенных финансовых года, если заявление о включении исламских ценных бумаг в данную категорию подано по истечении четырех месяцев с даты окончания последнего завершенного финансового года;</w:t>
      </w:r>
      <w:r>
        <w:br/>
      </w:r>
      <w:r>
        <w:rPr>
          <w:rFonts w:ascii="Times New Roman"/>
          <w:b w:val="false"/>
          <w:i w:val="false"/>
          <w:color w:val="000000"/>
          <w:sz w:val="28"/>
        </w:rPr>
        <w:t>
      три последовательных завершенных финансовых года, предшествующих последнему завершенному финансовому году, если заявление о включении исламских ценных бумаг в данную категорию подано в течение четырех месяцев с даты окончания последнего завершенного финансового года.</w:t>
      </w:r>
      <w:r>
        <w:br/>
      </w:r>
      <w:r>
        <w:rPr>
          <w:rFonts w:ascii="Times New Roman"/>
          <w:b w:val="false"/>
          <w:i w:val="false"/>
          <w:color w:val="000000"/>
          <w:sz w:val="28"/>
        </w:rPr>
        <w:t>
      С даты составления последней предоставленной инициатором допуска финансовой отчетности оригинатора,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оригинатора), должно пройти не более шести месяцев до даты подачи заявления о включении исламских ценных бумаг в данную категорию.</w:t>
      </w:r>
      <w:r>
        <w:br/>
      </w: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исламских ценных бумаг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оригинатора);</w:t>
      </w:r>
      <w:r>
        <w:br/>
      </w:r>
      <w:r>
        <w:rPr>
          <w:rFonts w:ascii="Times New Roman"/>
          <w:b w:val="false"/>
          <w:i w:val="false"/>
          <w:color w:val="000000"/>
          <w:sz w:val="28"/>
        </w:rPr>
        <w:t>
      6) собственный капитал оригинатора не может быть меньше его уставного капитала согласно финансовой отчетности на последнюю отчетную дату, подтвержденной аудиторским отчетом. При этом собственный капитал оригинатора составляет сумму, эквивалентную не менее восьми миллионов пятисот шестидесяти тысячекратного размера месячного расчетного показателя согласно финансовой отчетности оригинатора на последнюю отчетную дату, подтвержденной аудиторским отчетом;</w:t>
      </w:r>
      <w:r>
        <w:br/>
      </w:r>
      <w:r>
        <w:rPr>
          <w:rFonts w:ascii="Times New Roman"/>
          <w:b w:val="false"/>
          <w:i w:val="false"/>
          <w:color w:val="000000"/>
          <w:sz w:val="28"/>
        </w:rPr>
        <w:t>
      7) чистая прибыль оригинатора за два из трех последних лет составляет сумму, эквивалентную не менее восьмидесяти пяти тысяч шестисоткратного размера месячного расчетного показателя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8) проспект выпуска исламских ценных бумаг должен быть согласован советом по принципам исламского финансирования оригинатора;</w:t>
      </w:r>
      <w:r>
        <w:br/>
      </w:r>
      <w:r>
        <w:rPr>
          <w:rFonts w:ascii="Times New Roman"/>
          <w:b w:val="false"/>
          <w:i w:val="false"/>
          <w:color w:val="000000"/>
          <w:sz w:val="28"/>
        </w:rPr>
        <w:t>
      9) величина левереджа оригинатора не превышает двух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10) инициатор допуска представляет финансовую отчетность эмитента на последнюю отчетную дату;</w:t>
      </w:r>
      <w:r>
        <w:br/>
      </w:r>
      <w:r>
        <w:rPr>
          <w:rFonts w:ascii="Times New Roman"/>
          <w:b w:val="false"/>
          <w:i w:val="false"/>
          <w:color w:val="000000"/>
          <w:sz w:val="28"/>
        </w:rPr>
        <w:t>
      11) уставный капитал эмитента полностью оплачен учредителем;</w:t>
      </w:r>
      <w:r>
        <w:br/>
      </w:r>
      <w:r>
        <w:rPr>
          <w:rFonts w:ascii="Times New Roman"/>
          <w:b w:val="false"/>
          <w:i w:val="false"/>
          <w:color w:val="000000"/>
          <w:sz w:val="28"/>
        </w:rPr>
        <w:t>
      12) объекты имущества, входящего в состав выделенных активов, сдаются в аренду (финансовый лизинг) в течение двух лет до дня подачи заявления о включении исламских ценных бумаг в официальный список фондовой биржи либо заключен договор между оригинатором и эмитентом о сдаче в аренду (финансовый лизинг) объектов имущества, составляющего выделенные активы, на срок обращения исламских ценных бумаг;</w:t>
      </w:r>
      <w:r>
        <w:br/>
      </w:r>
      <w:r>
        <w:rPr>
          <w:rFonts w:ascii="Times New Roman"/>
          <w:b w:val="false"/>
          <w:i w:val="false"/>
          <w:color w:val="000000"/>
          <w:sz w:val="28"/>
        </w:rPr>
        <w:t>
      13) оценка выделенных активов эмитента производится одним из оценщиков, входящим в перечень признаваемых фондовой биржей оценщиков;</w:t>
      </w:r>
      <w:r>
        <w:br/>
      </w:r>
      <w:r>
        <w:rPr>
          <w:rFonts w:ascii="Times New Roman"/>
          <w:b w:val="false"/>
          <w:i w:val="false"/>
          <w:color w:val="000000"/>
          <w:sz w:val="28"/>
        </w:rPr>
        <w:t>
      14) не менее семидесяти пяти процентов доходов по выделенным активам составляют доходы, полученные в результате сдачи имущества в аренду (финансовый лизинг);</w:t>
      </w:r>
      <w:r>
        <w:br/>
      </w:r>
      <w:r>
        <w:rPr>
          <w:rFonts w:ascii="Times New Roman"/>
          <w:b w:val="false"/>
          <w:i w:val="false"/>
          <w:color w:val="000000"/>
          <w:sz w:val="28"/>
        </w:rPr>
        <w:t>
      15) объекты имущества, входящие в состав выделенных активов, не обременены.</w:t>
      </w:r>
      <w:r>
        <w:br/>
      </w:r>
      <w:r>
        <w:rPr>
          <w:rFonts w:ascii="Times New Roman"/>
          <w:b w:val="false"/>
          <w:i w:val="false"/>
          <w:color w:val="000000"/>
          <w:sz w:val="28"/>
        </w:rPr>
        <w:t>
      11-3. Для включения исламских ценных бумаг в сектор "исламские ценные бумаги" категории "исламские сертификаты участия" официального списка фондовой биржи и их нахождения в нем данные ценные бумаги, их эмитент и оригинатор должны соответствовать следующим требованиям:</w:t>
      </w:r>
      <w:r>
        <w:br/>
      </w:r>
      <w:r>
        <w:rPr>
          <w:rFonts w:ascii="Times New Roman"/>
          <w:b w:val="false"/>
          <w:i w:val="false"/>
          <w:color w:val="000000"/>
          <w:sz w:val="28"/>
        </w:rPr>
        <w:t>
      1) предусмотренным в подпунктах 1), 2), 3), 4), 5), 6), 7), 8), 9), 10), 11) пункта 11-2 настоящего постановления;</w:t>
      </w:r>
      <w:r>
        <w:br/>
      </w:r>
      <w:r>
        <w:rPr>
          <w:rFonts w:ascii="Times New Roman"/>
          <w:b w:val="false"/>
          <w:i w:val="false"/>
          <w:color w:val="000000"/>
          <w:sz w:val="28"/>
        </w:rPr>
        <w:t>
      2) эмитент является юридическим лицом, созданным для выпуска исламских ценных бумаг с целью последующего использования привлеченных средств от выпуска для развития существующего инвестиционного проекта;</w:t>
      </w:r>
      <w:r>
        <w:br/>
      </w:r>
      <w:r>
        <w:rPr>
          <w:rFonts w:ascii="Times New Roman"/>
          <w:b w:val="false"/>
          <w:i w:val="false"/>
          <w:color w:val="000000"/>
          <w:sz w:val="28"/>
        </w:rPr>
        <w:t>
      3) инвестиционный проект имеет прозрачную схему движения денежных средств, которая предполагает наличие объекта (источника), аккумулирующего денежные средства и механизма распределения данных денежных средств, а также основных источников затрат инвестиционного проекта;</w:t>
      </w:r>
      <w:r>
        <w:br/>
      </w:r>
      <w:r>
        <w:rPr>
          <w:rFonts w:ascii="Times New Roman"/>
          <w:b w:val="false"/>
          <w:i w:val="false"/>
          <w:color w:val="000000"/>
          <w:sz w:val="28"/>
        </w:rPr>
        <w:t>
      4) рентабельность инвестиционного проекта согласно его проектной документации является положительной величиной;</w:t>
      </w:r>
      <w:r>
        <w:br/>
      </w:r>
      <w:r>
        <w:rPr>
          <w:rFonts w:ascii="Times New Roman"/>
          <w:b w:val="false"/>
          <w:i w:val="false"/>
          <w:color w:val="000000"/>
          <w:sz w:val="28"/>
        </w:rPr>
        <w:t>
      5) оценка имущества, внесенного оригинатором в инвестиционный проект, производится одним из оценщиков, входящим в перечень признаваемых фондовой биржей оценщиков.";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13-1 изложить в следующей редакции:</w:t>
      </w:r>
      <w:r>
        <w:br/>
      </w:r>
      <w:r>
        <w:rPr>
          <w:rFonts w:ascii="Times New Roman"/>
          <w:b w:val="false"/>
          <w:i w:val="false"/>
          <w:color w:val="000000"/>
          <w:sz w:val="28"/>
        </w:rPr>
        <w:t>
      "2) дефолта эмитента по выплате вознаграждения по своим обязательствам (за исключением вознаграждения за последний купонный период в случае, если данный выпуск долговых ценных бумаг является единственным выпуском долговых ценных бумаг данного эмитента в официальном списке фондовой биржи);";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"13-5. Эмитент (инициатор допуска) в течение двадцати рабочих дней со дня получения письменного уведомления фондовой биржи либо возникновения оснований для перевода эмитента и его ценных бумаг в категорию "буферная категория", указанных в подпунктах 2) и 3) пункта 13-1 настоящего постановления, направляет в адрес фондовой биржи план мероприятий, утвержденный советом директоров эмитента (наблюдательным советом эмитента, созданного в иной, помимо акционерного общества, организационно-правовой форме), по устранению оснований для перевода ценных бумаг эмитента в категорию "буферная категория", предусмотренных пунктом 13-1 настоящего постановления (далее - план мероприятий).</w:t>
      </w:r>
      <w:r>
        <w:br/>
      </w:r>
      <w:r>
        <w:rPr>
          <w:rFonts w:ascii="Times New Roman"/>
          <w:b w:val="false"/>
          <w:i w:val="false"/>
          <w:color w:val="000000"/>
          <w:sz w:val="28"/>
        </w:rPr>
        <w:t>
      Фондовая биржа в день получения плана мероприятий размещает его на своем официальном сайте.</w:t>
      </w:r>
      <w:r>
        <w:br/>
      </w:r>
      <w:r>
        <w:rPr>
          <w:rFonts w:ascii="Times New Roman"/>
          <w:b w:val="false"/>
          <w:i w:val="false"/>
          <w:color w:val="000000"/>
          <w:sz w:val="28"/>
        </w:rPr>
        <w:t>
      План мероприятий содержит:</w:t>
      </w:r>
      <w:r>
        <w:br/>
      </w:r>
      <w:r>
        <w:rPr>
          <w:rFonts w:ascii="Times New Roman"/>
          <w:b w:val="false"/>
          <w:i w:val="false"/>
          <w:color w:val="000000"/>
          <w:sz w:val="28"/>
        </w:rPr>
        <w:t>
      1) краткую характеристику деятельности эмитента;</w:t>
      </w:r>
      <w:r>
        <w:br/>
      </w:r>
      <w:r>
        <w:rPr>
          <w:rFonts w:ascii="Times New Roman"/>
          <w:b w:val="false"/>
          <w:i w:val="false"/>
          <w:color w:val="000000"/>
          <w:sz w:val="28"/>
        </w:rPr>
        <w:t>
      2) основные причины возникновения оснований для перевода ценных бумаг эмитента в категорию "буферная категория";</w:t>
      </w:r>
      <w:r>
        <w:br/>
      </w:r>
      <w:r>
        <w:rPr>
          <w:rFonts w:ascii="Times New Roman"/>
          <w:b w:val="false"/>
          <w:i w:val="false"/>
          <w:color w:val="000000"/>
          <w:sz w:val="28"/>
        </w:rPr>
        <w:t>
      3) основные мероприятия, предполагаемые к выполнению эмитентом, направленные на оздоровление финансового положения;</w:t>
      </w:r>
      <w:r>
        <w:br/>
      </w:r>
      <w:r>
        <w:rPr>
          <w:rFonts w:ascii="Times New Roman"/>
          <w:b w:val="false"/>
          <w:i w:val="false"/>
          <w:color w:val="000000"/>
          <w:sz w:val="28"/>
        </w:rPr>
        <w:t>
      4) сроки выполнения каждого из мероприятий, предусмотренных планом мероприятий;</w:t>
      </w:r>
      <w:r>
        <w:br/>
      </w:r>
      <w:r>
        <w:rPr>
          <w:rFonts w:ascii="Times New Roman"/>
          <w:b w:val="false"/>
          <w:i w:val="false"/>
          <w:color w:val="000000"/>
          <w:sz w:val="28"/>
        </w:rPr>
        <w:t>
      5) прогноз основных финансовых показателей эмитента;</w:t>
      </w:r>
      <w:r>
        <w:br/>
      </w:r>
      <w:r>
        <w:rPr>
          <w:rFonts w:ascii="Times New Roman"/>
          <w:b w:val="false"/>
          <w:i w:val="false"/>
          <w:color w:val="000000"/>
          <w:sz w:val="28"/>
        </w:rPr>
        <w:t>
      6) перечень лиц, ответственных за выполнение мероприятий, предусмотренных планом мероприятий.</w:t>
      </w:r>
      <w:r>
        <w:br/>
      </w:r>
      <w:r>
        <w:rPr>
          <w:rFonts w:ascii="Times New Roman"/>
          <w:b w:val="false"/>
          <w:i w:val="false"/>
          <w:color w:val="000000"/>
          <w:sz w:val="28"/>
        </w:rPr>
        <w:t>
      Дополнительные требования в отношении плана мероприятий эмитента устанавливаются внутренними документами фондовой биржи.";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13-6</w:t>
      </w:r>
      <w:r>
        <w:rPr>
          <w:rFonts w:ascii="Times New Roman"/>
          <w:b w:val="false"/>
          <w:i w:val="false"/>
          <w:color w:val="000000"/>
          <w:sz w:val="28"/>
        </w:rPr>
        <w:t xml:space="preserve"> слово "десяти" заменить словом "пятнадцати";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xml:space="preserve"> пункта 14 изложить в следующей редакции:</w:t>
      </w:r>
      <w:r>
        <w:br/>
      </w:r>
      <w:r>
        <w:rPr>
          <w:rFonts w:ascii="Times New Roman"/>
          <w:b w:val="false"/>
          <w:i w:val="false"/>
          <w:color w:val="000000"/>
          <w:sz w:val="28"/>
        </w:rPr>
        <w:t>
      "14) оценка активов акционерного инвестиционного фонда производится одним из оценщиков, входящим в перечень признаваемых фондовой биржей оценщиков.</w:t>
      </w:r>
      <w:r>
        <w:br/>
      </w:r>
      <w:r>
        <w:rPr>
          <w:rFonts w:ascii="Times New Roman"/>
          <w:b w:val="false"/>
          <w:i w:val="false"/>
          <w:color w:val="000000"/>
          <w:sz w:val="28"/>
        </w:rPr>
        <w:t>
      Действие настоящего подпункта распространяется на акционерный инвестиционный фонд, созданный в соответствии с законодательством Республики Казахстан об инвестиционных фондах;";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пункта 14-1 слово "либо" заменить словами "и не";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и цифры "в 8 и 9 пунктах" заменить словами и цифрами "пунктами 8, 9 и 12";</w:t>
      </w:r>
      <w:r>
        <w:br/>
      </w:r>
      <w:r>
        <w:rPr>
          <w:rFonts w:ascii="Times New Roman"/>
          <w:b w:val="false"/>
          <w:i w:val="false"/>
          <w:color w:val="000000"/>
          <w:sz w:val="28"/>
        </w:rPr>
        <w:t>
</w:t>
      </w:r>
      <w:r>
        <w:rPr>
          <w:rFonts w:ascii="Times New Roman"/>
          <w:b w:val="false"/>
          <w:i w:val="false"/>
          <w:color w:val="000000"/>
          <w:sz w:val="28"/>
        </w:rPr>
        <w:t>
      в части второй слово и цифру "и 12" исключить.</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надзора за субъектами рынка ценных бумаг и накопительными пенсионными фондами (Хаджиева М.Ж.):</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фондовой биржи и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4. Фондовой бирже в течение одного месяца с даты введения в действие настоящего постановления привести свои внутренние документы в соответствие с требованиями настоящего постановления.</w:t>
      </w:r>
      <w:r>
        <w:br/>
      </w:r>
      <w:r>
        <w:rPr>
          <w:rFonts w:ascii="Times New Roman"/>
          <w:b w:val="false"/>
          <w:i w:val="false"/>
          <w:color w:val="000000"/>
          <w:sz w:val="28"/>
        </w:rPr>
        <w:t>
</w:t>
      </w:r>
      <w:r>
        <w:rPr>
          <w:rFonts w:ascii="Times New Roman"/>
          <w:b w:val="false"/>
          <w:i w:val="false"/>
          <w:color w:val="000000"/>
          <w:sz w:val="28"/>
        </w:rPr>
        <w:t>
      5.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Председателя Агентства Алдамберген А.У.</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rPr>
          <w:rFonts w:ascii="Times New Roman"/>
          <w:b w:val="false"/>
          <w:i w:val="false"/>
          <w:color w:val="000000"/>
          <w:sz w:val="28"/>
        </w:rPr>
        <w:t>                               </w:t>
      </w:r>
      <w:r>
        <w:rPr>
          <w:rFonts w:ascii="Times New Roman"/>
          <w:b w:val="false"/>
          <w:i/>
          <w:color w:val="000000"/>
          <w:sz w:val="28"/>
        </w:rPr>
        <w:t>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