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c50ca" w14:textId="cbc50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типовой формы плана развития субъектов охотничьего и рыбного хозяйств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сельского хозяйства Республики Казахстан от 19 апреля 2010 года № 276. Зарегистрирован в Министерстве юстиции Республики Казахстан 17 мая 2010 года № 6232. Утратил силу приказом Министра охраны окружающей среды Республики Казахстан от 16 августа 2013 года № 246-Ө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     Сноска. Утратил силу приказом Министра охраны окружающей среды РК от 16.08.2013 </w:t>
      </w:r>
      <w:r>
        <w:rPr>
          <w:rFonts w:ascii="Times New Roman"/>
          <w:b w:val="false"/>
          <w:i w:val="false"/>
          <w:color w:val="ff0000"/>
          <w:sz w:val="28"/>
        </w:rPr>
        <w:t>№ 246-Ө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приказа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9 Закона Республики Казахстан "Об охране, воспроизводстве и использовании животного мира" от 9 июля 2004 года,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типовые формы плана развития субъекта охотничьего и рыбного хозяйств,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рыбного хозяйства Министерства сельского хозяйства Республики Казахстан от 6 марта 2006 года № 16-6/28п "Об утверждении Типовой формы Плана развития рыбного хозяйства" (зарегистрирован в Реестре государственной регистрации нормативных правовых актов за № 4114, опубликован в "Юридической газете", от 7 апреля 2006 года № 61-62 (1041-1042)).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стратегии использования природных ресурсов обеспечить регистрацию настоящего приказа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И.о. Министра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Е. Аман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И.о. Министра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апреля 2010 года № 276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Типовая форма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/>
          <w:i w:val="false"/>
          <w:color w:val="000000"/>
          <w:sz w:val="28"/>
        </w:rPr>
        <w:t>План развития субъектов охотничьего хозяйства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_____________________________________________ на 20__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(наименование субъекта охотничьего хозяйства)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4"/>
        <w:gridCol w:w="6807"/>
        <w:gridCol w:w="1175"/>
        <w:gridCol w:w="1110"/>
        <w:gridCol w:w="1089"/>
        <w:gridCol w:w="1067"/>
        <w:gridCol w:w="1198"/>
      </w:tblGrid>
      <w:tr>
        <w:trPr>
          <w:trHeight w:val="30" w:hRule="atLeast"/>
        </w:trPr>
        <w:tc>
          <w:tcPr>
            <w:tcW w:w="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6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мероприятий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кварталам</w:t>
            </w:r>
          </w:p>
        </w:tc>
        <w:tc>
          <w:tcPr>
            <w:tcW w:w="11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Охрана охотничьих угодий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рейдов по охране охотничьих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угодий, км/тысяч тенге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Установка и обновление аншлагов,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панно, трафаретов, вывесок, штук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в средствах массовой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идей бережного отношения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животному миру (выпуск статей,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буклетов, интервью) штук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егерской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специальной одеждой, горюче-смазочными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материалами, служебным оружием,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средствами связи, штук/тн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Учет диких животных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учетов численности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животного мира км (га)/тысяч тенге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Воспроизводственные мероприятия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Устройство и обновление солонцов, штук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раскладка соли, кг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Устройство подкормочных площадок, штук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Сооружение и установка кормушек, штук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ранее установленных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кормушек, штук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Заготовка и раскладка сена, тн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Заготовка и раскладка зерноотходов, кг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Посев кормовых полей, га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искусственных водоемов, штук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ремизов, га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Интродукция объектов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животного, штук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Разведение животных в неволе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полувольных условиях, вид животного,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Отстрел волков, бродячих собак, штук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Охотохозяйственные мероприятия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внутрихозяйственного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охотоустройства, га/тысяч тенге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кордонов, ремонт дорог,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техники штук (км)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Эксплуатационные мероприятия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спортивно-любительской (промысловой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охоты) охоты особей/тысяч тенге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Другие мероприятия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И.о. Министра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апреля 2010 года № 276 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Типовая форма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 </w:t>
      </w:r>
      <w:r>
        <w:rPr>
          <w:rFonts w:ascii="Times New Roman"/>
          <w:b/>
          <w:i w:val="false"/>
          <w:color w:val="000000"/>
          <w:sz w:val="28"/>
        </w:rPr>
        <w:t>План развития субъектов рыбного хозяйства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_____________________________________________ на 20__-20__ годы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(наименование субъекта рыбного хозяйства)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7"/>
        <w:gridCol w:w="4744"/>
        <w:gridCol w:w="3827"/>
        <w:gridCol w:w="3522"/>
      </w:tblGrid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*Сроки выполнения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планируемых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финансовых средств 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Мероприятия по воспроизводству рыбных ресурсов</w:t>
            </w:r>
          </w:p>
        </w:tc>
      </w:tr>
      <w:tr>
        <w:trPr>
          <w:trHeight w:val="106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Зарыбление в естественную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среду обитания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 тысяч тенге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Акты зарыбления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видам, тысяч штук </w:t>
            </w:r>
          </w:p>
        </w:tc>
      </w:tr>
      <w:tr>
        <w:trPr>
          <w:trHeight w:val="66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работ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рыбохозяйственной мелиорации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 тысяч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3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территориальный 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выполнении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утвержденной формой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отчетности</w:t>
            </w:r>
          </w:p>
        </w:tc>
      </w:tr>
      <w:tr>
        <w:trPr>
          <w:trHeight w:val="102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противозаморных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8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Спасение молоди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отшнурованных водоемов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 тысяч тенге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воспроизводственных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 тысяч тенге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Научные работы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состояния рыбных ресурсов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 водных животных</w:t>
            </w:r>
          </w:p>
        </w:tc>
        <w:tc>
          <w:tcPr>
            <w:tcW w:w="3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3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 с научными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организациями, акты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выполненных 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 экспертизы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проектам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обоснованиям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Рекомендации по режиму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рыболовства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воспроизводству рыбных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рыбохозяйственной мелиорации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Другое указать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Мероприятия по техническому перевооружению добывающей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перерабатывающей базы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Приобретение, монтаж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обновление технологического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 по переработке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рыбной продукции</w:t>
            </w:r>
          </w:p>
        </w:tc>
        <w:tc>
          <w:tcPr>
            <w:tcW w:w="3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в объеме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 тысяч тенге</w:t>
            </w:r>
          </w:p>
        </w:tc>
        <w:tc>
          <w:tcPr>
            <w:tcW w:w="3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приобретении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установке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территориальный орган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монтаж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 по рыбоводству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(инкубирование икры,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установки замкнутого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кормораздатчики)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9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плавательных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(рефрижераторные автомобили,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транспортный флот)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 - объемы планируемых финансовых средств и сроки его исполнения расписываются по годам на весь период закрепления водоема или участка за пользователем.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