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4a47" w14:textId="12c4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2010 года № 60. Зарегистрировано в Министерстве юстиции Республики Казахстан 11 июня 2010 года № 6286. Утратило силу постановлением Правления Национального банка Республики Казахстан от 27 июля 2012 года № 224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27.07.2012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2124)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4</w:t>
      </w:r>
      <w:r>
        <w:rPr>
          <w:rFonts w:ascii="Times New Roman"/>
          <w:b w:val="false"/>
          <w:i w:val="false"/>
          <w:color w:val="000000"/>
          <w:sz w:val="28"/>
        </w:rPr>
        <w:t xml:space="preserve"> цифру "8" заменить цифрой "9";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после слов "пенсионными активами)" дополнить словами ", отчет о стоимости остатка активов клиента, находящихся на счетах у брокера, по поручению которого в торговой системе фондовой биржи была совершена операция открытия "РЕПО" "прямым способом", на бумажном и электронном носителях согласно приложению 7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настоящему постановлению;</w:t>
      </w:r>
      <w:r>
        <w:br/>
      </w:r>
      <w:r>
        <w:rPr>
          <w:rFonts w:ascii="Times New Roman"/>
          <w:b w:val="false"/>
          <w:i w:val="false"/>
          <w:color w:val="000000"/>
          <w:sz w:val="28"/>
        </w:rPr>
        <w:t>
</w:t>
      </w:r>
      <w:r>
        <w:rPr>
          <w:rFonts w:ascii="Times New Roman"/>
          <w:b w:val="false"/>
          <w:i w:val="false"/>
          <w:color w:val="000000"/>
          <w:sz w:val="28"/>
        </w:rPr>
        <w:t>
      таблицу "Отчет (наименование организации, обладающей лицензией на осуществление брокерской и дилерской деятельности на рынке ценных бумаг) о стоимости остатка активов клиента, находящихся на счетах у брокера, по поручению которого в торговой системе фондовой биржи была совершена операция открытия "репо" "прямым способом" по состоянию на "___" _________________" </w:t>
      </w:r>
      <w:r>
        <w:rPr>
          <w:rFonts w:ascii="Times New Roman"/>
          <w:b w:val="false"/>
          <w:i w:val="false"/>
          <w:color w:val="000000"/>
          <w:sz w:val="28"/>
        </w:rPr>
        <w:t>приложения 7</w:t>
      </w:r>
      <w:r>
        <w:rPr>
          <w:rFonts w:ascii="Times New Roman"/>
          <w:b w:val="false"/>
          <w:i w:val="false"/>
          <w:color w:val="000000"/>
          <w:sz w:val="28"/>
        </w:rPr>
        <w:t xml:space="preserve"> после столбца: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столбцом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клиента</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дополнить </w:t>
      </w:r>
      <w:r>
        <w:rPr>
          <w:rFonts w:ascii="Times New Roman"/>
          <w:b w:val="false"/>
          <w:i w:val="false"/>
          <w:color w:val="000000"/>
          <w:sz w:val="28"/>
        </w:rPr>
        <w:t>приложением 9</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3"/>
    <w:p>
      <w:pPr>
        <w:spacing w:after="0"/>
        <w:ind w:left="0"/>
        <w:jc w:val="both"/>
      </w:pPr>
      <w:r>
        <w:rPr>
          <w:rFonts w:ascii="Times New Roman"/>
          <w:b w:val="false"/>
          <w:i/>
          <w:color w:val="000000"/>
          <w:sz w:val="28"/>
        </w:rPr>
        <w:t>      Председатель                               Е. Бахмутова</w:t>
      </w:r>
    </w:p>
    <w:bookmarkStart w:name="z16"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60    </w:t>
      </w:r>
    </w:p>
    <w:bookmarkEnd w:id="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организациями, обладающими лицензиями</w:t>
      </w:r>
      <w:r>
        <w:br/>
      </w:r>
      <w:r>
        <w:rPr>
          <w:rFonts w:ascii="Times New Roman"/>
          <w:b w:val="false"/>
          <w:i w:val="false"/>
          <w:color w:val="000000"/>
          <w:sz w:val="28"/>
        </w:rPr>
        <w:t>
на осуществление брокерской и дилерской</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сделках с производными финансовыми инструментами</w:t>
      </w:r>
      <w:r>
        <w:br/>
      </w:r>
      <w:r>
        <w:rPr>
          <w:rFonts w:ascii="Times New Roman"/>
          <w:b w:val="false"/>
          <w:i w:val="false"/>
          <w:color w:val="000000"/>
          <w:sz w:val="28"/>
        </w:rPr>
        <w:t>
  (наименование организации, обладающей лицензией на осуществление</w:t>
      </w:r>
      <w:r>
        <w:br/>
      </w:r>
      <w:r>
        <w:rPr>
          <w:rFonts w:ascii="Times New Roman"/>
          <w:b w:val="false"/>
          <w:i w:val="false"/>
          <w:color w:val="000000"/>
          <w:sz w:val="28"/>
        </w:rPr>
        <w:t>
     брокерской и дилерской деятельности на рынке ценных бумаг)</w:t>
      </w:r>
      <w:r>
        <w:br/>
      </w:r>
      <w:r>
        <w:rPr>
          <w:rFonts w:ascii="Times New Roman"/>
          <w:b w:val="false"/>
          <w:i w:val="false"/>
          <w:color w:val="000000"/>
          <w:sz w:val="28"/>
        </w:rPr>
        <w:t>
            за период с ______________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70"/>
        <w:gridCol w:w="1367"/>
        <w:gridCol w:w="1492"/>
        <w:gridCol w:w="870"/>
        <w:gridCol w:w="1119"/>
        <w:gridCol w:w="1366"/>
        <w:gridCol w:w="869"/>
        <w:gridCol w:w="1118"/>
        <w:gridCol w:w="869"/>
        <w:gridCol w:w="994"/>
        <w:gridCol w:w="994"/>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водного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r>
              <w:rPr>
                <w:rFonts w:ascii="Times New Roman"/>
                <w:b w:val="false"/>
                <w:i w:val="false"/>
                <w:color w:val="000000"/>
                <w:vertAlign w:val="superscript"/>
              </w:rPr>
              <w:t>2</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фикацион-</w:t>
            </w:r>
            <w:r>
              <w:br/>
            </w:r>
            <w:r>
              <w:rPr>
                <w:rFonts w:ascii="Times New Roman"/>
                <w:b w:val="false"/>
                <w:i w:val="false"/>
                <w:color w:val="000000"/>
                <w:sz w:val="20"/>
              </w:rPr>
              <w:t>
</w:t>
            </w:r>
            <w:r>
              <w:rPr>
                <w:rFonts w:ascii="Times New Roman"/>
                <w:b w:val="false"/>
                <w:i w:val="false"/>
                <w:color w:val="000000"/>
                <w:sz w:val="20"/>
              </w:rPr>
              <w:t>ный номер</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r>
              <w:rPr>
                <w:rFonts w:ascii="Times New Roman"/>
                <w:b w:val="false"/>
                <w:i w:val="false"/>
                <w:color w:val="000000"/>
                <w:vertAlign w:val="superscript"/>
              </w:rPr>
              <w:t>3</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w:t>
            </w:r>
            <w:r>
              <w:rPr>
                <w:rFonts w:ascii="Times New Roman"/>
                <w:b w:val="false"/>
                <w:i w:val="false"/>
                <w:color w:val="000000"/>
                <w:vertAlign w:val="superscript"/>
              </w:rPr>
              <w:t>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rPr>
                <w:rFonts w:ascii="Times New Roman"/>
                <w:b w:val="false"/>
                <w:i w:val="false"/>
                <w:color w:val="000000"/>
                <w:vertAlign w:val="superscript"/>
              </w:rPr>
              <w:t>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агент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рейтинг</w:t>
            </w:r>
            <w:r>
              <w:rPr>
                <w:rFonts w:ascii="Times New Roman"/>
                <w:b w:val="false"/>
                <w:i w:val="false"/>
                <w:color w:val="000000"/>
                <w:vertAlign w:val="superscript"/>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w:t>
            </w:r>
            <w:r>
              <w:br/>
            </w:r>
            <w:r>
              <w:rPr>
                <w:rFonts w:ascii="Times New Roman"/>
                <w:b w:val="false"/>
                <w:i w:val="false"/>
                <w:color w:val="000000"/>
                <w:sz w:val="20"/>
              </w:rPr>
              <w:t>
</w:t>
            </w:r>
            <w:r>
              <w:rPr>
                <w:rFonts w:ascii="Times New Roman"/>
                <w:b w:val="false"/>
                <w:i w:val="false"/>
                <w:color w:val="000000"/>
                <w:sz w:val="20"/>
              </w:rPr>
              <w:t>румен-</w:t>
            </w:r>
            <w:r>
              <w:br/>
            </w:r>
            <w:r>
              <w:rPr>
                <w:rFonts w:ascii="Times New Roman"/>
                <w:b w:val="false"/>
                <w:i w:val="false"/>
                <w:color w:val="000000"/>
                <w:sz w:val="20"/>
              </w:rPr>
              <w:t>
</w:t>
            </w:r>
            <w:r>
              <w:rPr>
                <w:rFonts w:ascii="Times New Roman"/>
                <w:b w:val="false"/>
                <w:i w:val="false"/>
                <w:color w:val="000000"/>
                <w:sz w:val="20"/>
              </w:rPr>
              <w:t>тов</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сделки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сдел-</w:t>
            </w:r>
            <w:r>
              <w:br/>
            </w:r>
            <w:r>
              <w:rPr>
                <w:rFonts w:ascii="Times New Roman"/>
                <w:b w:val="false"/>
                <w:i w:val="false"/>
                <w:color w:val="000000"/>
                <w:sz w:val="20"/>
              </w:rPr>
              <w:t>
</w:t>
            </w:r>
            <w:r>
              <w:rPr>
                <w:rFonts w:ascii="Times New Roman"/>
                <w:b w:val="false"/>
                <w:i w:val="false"/>
                <w:color w:val="000000"/>
                <w:sz w:val="20"/>
              </w:rPr>
              <w:t>ки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сделки</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2418"/>
        <w:gridCol w:w="3222"/>
        <w:gridCol w:w="2417"/>
        <w:gridCol w:w="1381"/>
      </w:tblGrid>
      <w:tr>
        <w:trPr>
          <w:trHeight w:val="375"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хеджирования</w:t>
            </w:r>
            <w:r>
              <w:rPr>
                <w:rFonts w:ascii="Times New Roman"/>
                <w:b w:val="false"/>
                <w:i w:val="false"/>
                <w:color w:val="000000"/>
                <w:vertAlign w:val="superscript"/>
              </w:rPr>
              <w:t>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кого</w:t>
            </w:r>
            <w:r>
              <w:br/>
            </w:r>
            <w:r>
              <w:rPr>
                <w:rFonts w:ascii="Times New Roman"/>
                <w:b w:val="false"/>
                <w:i w:val="false"/>
                <w:color w:val="000000"/>
                <w:sz w:val="20"/>
              </w:rPr>
              <w:t>
</w:t>
            </w:r>
            <w:r>
              <w:rPr>
                <w:rFonts w:ascii="Times New Roman"/>
                <w:b w:val="false"/>
                <w:i w:val="false"/>
                <w:color w:val="000000"/>
                <w:sz w:val="20"/>
              </w:rPr>
              <w:t>участвовал в</w:t>
            </w:r>
            <w:r>
              <w:br/>
            </w:r>
            <w:r>
              <w:rPr>
                <w:rFonts w:ascii="Times New Roman"/>
                <w:b w:val="false"/>
                <w:i w:val="false"/>
                <w:color w:val="000000"/>
                <w:sz w:val="20"/>
              </w:rPr>
              <w:t>
</w:t>
            </w:r>
            <w:r>
              <w:rPr>
                <w:rFonts w:ascii="Times New Roman"/>
                <w:b w:val="false"/>
                <w:i w:val="false"/>
                <w:color w:val="000000"/>
                <w:sz w:val="20"/>
              </w:rPr>
              <w:t>сделке</w:t>
            </w:r>
            <w:r>
              <w:rPr>
                <w:rFonts w:ascii="Times New Roman"/>
                <w:b w:val="false"/>
                <w:i w:val="false"/>
                <w:color w:val="000000"/>
                <w:vertAlign w:val="superscript"/>
              </w:rPr>
              <w:t>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и время</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клиентского заказа</w:t>
            </w:r>
            <w:r>
              <w:rPr>
                <w:rFonts w:ascii="Times New Roman"/>
                <w:b w:val="false"/>
                <w:i w:val="false"/>
                <w:color w:val="000000"/>
                <w:vertAlign w:val="superscript"/>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r>
              <w:br/>
            </w:r>
            <w:r>
              <w:rPr>
                <w:rFonts w:ascii="Times New Roman"/>
                <w:b w:val="false"/>
                <w:i w:val="false"/>
                <w:color w:val="000000"/>
                <w:sz w:val="20"/>
              </w:rPr>
              <w:t>
</w:t>
            </w:r>
            <w:r>
              <w:rPr>
                <w:rFonts w:ascii="Times New Roman"/>
                <w:b w:val="false"/>
                <w:i w:val="false"/>
                <w:color w:val="000000"/>
                <w:sz w:val="20"/>
              </w:rPr>
              <w:t xml:space="preserve">и страна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резидентства</w:t>
            </w:r>
            <w:r>
              <w:rPr>
                <w:rFonts w:ascii="Times New Roman"/>
                <w:b w:val="false"/>
                <w:i w:val="false"/>
                <w:color w:val="000000"/>
                <w:vertAlign w:val="superscript"/>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(лицо, уполномоченное                         Фамилия, имя, отчество</w:t>
      </w:r>
      <w:r>
        <w:br/>
      </w:r>
      <w:r>
        <w:rPr>
          <w:rFonts w:ascii="Times New Roman"/>
          <w:b w:val="false"/>
          <w:i w:val="false"/>
          <w:color w:val="000000"/>
          <w:sz w:val="28"/>
        </w:rPr>
        <w:t>
на подписание отчета)            (подпись)        (при наличии)</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(лицо, уполномоченное                         Фамилия, имя, отчество</w:t>
      </w:r>
      <w:r>
        <w:br/>
      </w:r>
      <w:r>
        <w:rPr>
          <w:rFonts w:ascii="Times New Roman"/>
          <w:b w:val="false"/>
          <w:i w:val="false"/>
          <w:color w:val="000000"/>
          <w:sz w:val="28"/>
        </w:rPr>
        <w:t>
на подписание отчета)            (подпись)        (при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Исполнитель       (подпись, номер телефона)   Фамилия, имя, отчество</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Указывается дата заключения сделки в формате "дата/месяц/год".</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Указывается вид производного финансового инструмента (опцион, фьючерс, форвард, своп и другие производные финансовые инструменты).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в случае, если базовым активом производного финансового инструмента является ценная бумага.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Если сделка заключена с целью хеджирования, указываются слово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Указывается символ "B", если организация, обладающая лицензией на осуществление брокерской и дилерской деятельностью на рынке ценных бумаг, выступала в качестве брокера.</w:t>
      </w:r>
      <w:r>
        <w:br/>
      </w:r>
      <w:r>
        <w:rPr>
          <w:rFonts w:ascii="Times New Roman"/>
          <w:b w:val="false"/>
          <w:i w:val="false"/>
          <w:color w:val="000000"/>
          <w:sz w:val="28"/>
        </w:rPr>
        <w:t>
      Указывается символ "D", если организация, обладающая лицензией на осуществление брокерской и дилерской деятельностью на рынке ценных бумаг, выступала в качестве дилера.</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В случае, если организация, обладающая лицензией на осуществление брокерской и дилерской деятельностью на рынке ценных бумаг, выступала в качестве брокера, указывается информация в формате "Код клиента/страна". При этом указываются коды клиентов данного брокера, за счет и в интересах которых была заключена сделка: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242"/>
        <w:gridCol w:w="323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5-ти значный</w:t>
            </w:r>
            <w:r>
              <w:br/>
            </w:r>
            <w:r>
              <w:rPr>
                <w:rFonts w:ascii="Times New Roman"/>
                <w:b w:val="false"/>
                <w:i w:val="false"/>
                <w:color w:val="000000"/>
                <w:sz w:val="20"/>
              </w:rPr>
              <w:t>
код клиента</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(нерезидент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(нерезидент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w:t>
            </w:r>
            <w:r>
              <w:br/>
            </w:r>
            <w:r>
              <w:rPr>
                <w:rFonts w:ascii="Times New Roman"/>
                <w:b w:val="false"/>
                <w:i w:val="false"/>
                <w:color w:val="000000"/>
                <w:sz w:val="20"/>
              </w:rPr>
              <w:t>
инвестиционное управление пенсионным</w:t>
            </w:r>
            <w:r>
              <w:br/>
            </w:r>
            <w:r>
              <w:rPr>
                <w:rFonts w:ascii="Times New Roman"/>
                <w:b w:val="false"/>
                <w:i w:val="false"/>
                <w:color w:val="000000"/>
                <w:sz w:val="20"/>
              </w:rPr>
              <w:t>
активами/накопительный пенсионный фонд</w:t>
            </w:r>
            <w:r>
              <w:br/>
            </w:r>
            <w:r>
              <w:rPr>
                <w:rFonts w:ascii="Times New Roman"/>
                <w:b w:val="false"/>
                <w:i w:val="false"/>
                <w:color w:val="000000"/>
                <w:sz w:val="20"/>
              </w:rPr>
              <w:t>
(пенсионные активы)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пенсионный фонд</w:t>
            </w:r>
            <w:r>
              <w:br/>
            </w:r>
            <w:r>
              <w:rPr>
                <w:rFonts w:ascii="Times New Roman"/>
                <w:b w:val="false"/>
                <w:i w:val="false"/>
                <w:color w:val="000000"/>
                <w:sz w:val="20"/>
              </w:rPr>
              <w:t>
(собственные активы)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второго уровня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организация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фонд</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обладающая лицензией на</w:t>
            </w:r>
            <w:r>
              <w:br/>
            </w:r>
            <w:r>
              <w:rPr>
                <w:rFonts w:ascii="Times New Roman"/>
                <w:b w:val="false"/>
                <w:i w:val="false"/>
                <w:color w:val="000000"/>
                <w:sz w:val="20"/>
              </w:rPr>
              <w:t>
осуществление брокерской и дилерской</w:t>
            </w:r>
            <w:r>
              <w:br/>
            </w:r>
            <w:r>
              <w:rPr>
                <w:rFonts w:ascii="Times New Roman"/>
                <w:b w:val="false"/>
                <w:i w:val="false"/>
                <w:color w:val="000000"/>
                <w:sz w:val="20"/>
              </w:rPr>
              <w:t>
деятельности на рынке ценных бумаг –</w:t>
            </w:r>
            <w:r>
              <w:br/>
            </w:r>
            <w:r>
              <w:rPr>
                <w:rFonts w:ascii="Times New Roman"/>
                <w:b w:val="false"/>
                <w:i w:val="false"/>
                <w:color w:val="000000"/>
                <w:sz w:val="20"/>
              </w:rPr>
              <w:t>
собственные активы (за исключением</w:t>
            </w:r>
            <w:r>
              <w:br/>
            </w:r>
            <w:r>
              <w:rPr>
                <w:rFonts w:ascii="Times New Roman"/>
                <w:b w:val="false"/>
                <w:i w:val="false"/>
                <w:color w:val="000000"/>
                <w:sz w:val="20"/>
              </w:rPr>
              <w:t>
организации, осуществляющей</w:t>
            </w:r>
            <w:r>
              <w:br/>
            </w:r>
            <w:r>
              <w:rPr>
                <w:rFonts w:ascii="Times New Roman"/>
                <w:b w:val="false"/>
                <w:i w:val="false"/>
                <w:color w:val="000000"/>
                <w:sz w:val="20"/>
              </w:rPr>
              <w:t>
инвестиционное управление пенсионным</w:t>
            </w:r>
            <w:r>
              <w:br/>
            </w:r>
            <w:r>
              <w:rPr>
                <w:rFonts w:ascii="Times New Roman"/>
                <w:b w:val="false"/>
                <w:i w:val="false"/>
                <w:color w:val="000000"/>
                <w:sz w:val="20"/>
              </w:rPr>
              <w:t>
активами, накопительного пенсионного</w:t>
            </w:r>
            <w:r>
              <w:br/>
            </w:r>
            <w:r>
              <w:rPr>
                <w:rFonts w:ascii="Times New Roman"/>
                <w:b w:val="false"/>
                <w:i w:val="false"/>
                <w:color w:val="000000"/>
                <w:sz w:val="20"/>
              </w:rPr>
              <w:t>
фонда, банка второго уровня Республики</w:t>
            </w:r>
            <w:r>
              <w:br/>
            </w:r>
            <w:r>
              <w:rPr>
                <w:rFonts w:ascii="Times New Roman"/>
                <w:b w:val="false"/>
                <w:i w:val="false"/>
                <w:color w:val="000000"/>
                <w:sz w:val="20"/>
              </w:rPr>
              <w:t>
Казахстан)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пятизначный,</w:t>
            </w:r>
            <w:r>
              <w:br/>
            </w:r>
            <w:r>
              <w:rPr>
                <w:rFonts w:ascii="Times New Roman"/>
                <w:b w:val="false"/>
                <w:i w:val="false"/>
                <w:color w:val="000000"/>
                <w:sz w:val="20"/>
              </w:rPr>
              <w:t>
присвоенный</w:t>
            </w:r>
            <w:r>
              <w:br/>
            </w:r>
            <w:r>
              <w:rPr>
                <w:rFonts w:ascii="Times New Roman"/>
                <w:b w:val="false"/>
                <w:i w:val="false"/>
                <w:color w:val="000000"/>
                <w:sz w:val="20"/>
              </w:rPr>
              <w:t>
организатором</w:t>
            </w:r>
            <w:r>
              <w:br/>
            </w:r>
            <w:r>
              <w:rPr>
                <w:rFonts w:ascii="Times New Roman"/>
                <w:b w:val="false"/>
                <w:i w:val="false"/>
                <w:color w:val="000000"/>
                <w:sz w:val="20"/>
              </w:rPr>
              <w:t>
торгов</w:t>
            </w:r>
          </w:p>
        </w:tc>
      </w:tr>
    </w:tbl>
    <w:p>
      <w:pPr>
        <w:spacing w:after="0"/>
        <w:ind w:left="0"/>
        <w:jc w:val="both"/>
      </w:pPr>
      <w:r>
        <w:rPr>
          <w:rFonts w:ascii="Times New Roman"/>
          <w:b w:val="false"/>
          <w:i w:val="false"/>
          <w:color w:val="000000"/>
          <w:sz w:val="28"/>
        </w:rPr>
        <w:t>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дилерской деятельности, при совершении сделок за счет пенсионных активов данную графу не заполняют."</w:t>
      </w:r>
    </w:p>
    <w:bookmarkStart w:name="z17"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60      </w:t>
      </w:r>
    </w:p>
    <w:bookmarkEnd w:id="5"/>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представления отчетов </w:t>
      </w:r>
      <w:r>
        <w:br/>
      </w:r>
      <w:r>
        <w:rPr>
          <w:rFonts w:ascii="Times New Roman"/>
          <w:b w:val="false"/>
          <w:i w:val="false"/>
          <w:color w:val="000000"/>
          <w:sz w:val="28"/>
        </w:rPr>
        <w:t>
организациями, обладающими лицензиями</w:t>
      </w:r>
      <w:r>
        <w:br/>
      </w:r>
      <w:r>
        <w:rPr>
          <w:rFonts w:ascii="Times New Roman"/>
          <w:b w:val="false"/>
          <w:i w:val="false"/>
          <w:color w:val="000000"/>
          <w:sz w:val="28"/>
        </w:rPr>
        <w:t>
на осуществление брокерской и дилерской</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Отчет об остатках денег на собственных счетах брокера и</w:t>
      </w:r>
      <w:r>
        <w:br/>
      </w:r>
      <w:r>
        <w:rPr>
          <w:rFonts w:ascii="Times New Roman"/>
          <w:b w:val="false"/>
          <w:i w:val="false"/>
          <w:color w:val="000000"/>
          <w:sz w:val="28"/>
        </w:rPr>
        <w:t>
               </w:t>
      </w:r>
      <w:r>
        <w:rPr>
          <w:rFonts w:ascii="Times New Roman"/>
          <w:b/>
          <w:i w:val="false"/>
          <w:color w:val="000000"/>
          <w:sz w:val="28"/>
        </w:rPr>
        <w:t>клиентов, находящихся на счетах у брокера</w:t>
      </w:r>
      <w:r>
        <w:br/>
      </w:r>
      <w:r>
        <w:rPr>
          <w:rFonts w:ascii="Times New Roman"/>
          <w:b w:val="false"/>
          <w:i w:val="false"/>
          <w:color w:val="000000"/>
          <w:sz w:val="28"/>
        </w:rPr>
        <w:t>
     (наименование организации, обладающей лицензией на осуществление</w:t>
      </w:r>
      <w:r>
        <w:br/>
      </w:r>
      <w:r>
        <w:rPr>
          <w:rFonts w:ascii="Times New Roman"/>
          <w:b w:val="false"/>
          <w:i w:val="false"/>
          <w:color w:val="000000"/>
          <w:sz w:val="28"/>
        </w:rPr>
        <w:t>
         брокерской и дилерской деятельности на рынке ценных бумаг)</w:t>
      </w:r>
      <w:r>
        <w:br/>
      </w:r>
      <w:r>
        <w:rPr>
          <w:rFonts w:ascii="Times New Roman"/>
          <w:b w:val="false"/>
          <w:i w:val="false"/>
          <w:color w:val="000000"/>
          <w:sz w:val="28"/>
        </w:rPr>
        <w:t>
                 по состоянию на "___"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5393"/>
        <w:gridCol w:w="4652"/>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собственных денег</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счетах</w:t>
            </w:r>
            <w:r>
              <w:br/>
            </w:r>
            <w:r>
              <w:rPr>
                <w:rFonts w:ascii="Times New Roman"/>
                <w:b w:val="false"/>
                <w:i w:val="false"/>
                <w:color w:val="000000"/>
                <w:sz w:val="20"/>
              </w:rPr>
              <w:t>
клиентов</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(лицо, уполномоченное                         Фамилия, имя, отчество</w:t>
      </w:r>
      <w:r>
        <w:br/>
      </w:r>
      <w:r>
        <w:rPr>
          <w:rFonts w:ascii="Times New Roman"/>
          <w:b w:val="false"/>
          <w:i w:val="false"/>
          <w:color w:val="000000"/>
          <w:sz w:val="28"/>
        </w:rPr>
        <w:t>
на подписание отчета)       (подпись)          (при наличии)</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(лицо, уполномоченное                         Фамилия, имя, отчество</w:t>
      </w:r>
      <w:r>
        <w:br/>
      </w:r>
      <w:r>
        <w:rPr>
          <w:rFonts w:ascii="Times New Roman"/>
          <w:b w:val="false"/>
          <w:i w:val="false"/>
          <w:color w:val="000000"/>
          <w:sz w:val="28"/>
        </w:rPr>
        <w:t>
на подписание отчета        (подпись)          (при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Исполнитель       (подпись, номер телефона)   Фамилия, имя, отчество</w:t>
      </w:r>
      <w:r>
        <w:br/>
      </w:r>
      <w:r>
        <w:rPr>
          <w:rFonts w:ascii="Times New Roman"/>
          <w:b w:val="false"/>
          <w:i w:val="false"/>
          <w:color w:val="000000"/>
          <w:sz w:val="28"/>
        </w:rPr>
        <w:t>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