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328d" w14:textId="7cd32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 25 марта 2006 года № 83 "Об утверждении Правил расчета коэффициентов, характеризующих убыточность страховой (перестраховочной)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15 июля 2010 года № 106. Зарегистрировано в Министерстве юстиции Республики Казахстан 11 августа 2010 года № 6381. Утратило силу постановлением Правления Национального Банка Республики Казахстан от 19 декабря 2015 года №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25 марта 2006 года № 83 "Об утверждении Правил расчета коэффициентов, характеризующих убыточность страховой (перестраховочной) организации" (зарегистрированное в Реестре государственной регистрации нормативных правовых актов под № 4218)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коэффициентов, характеризующих убыточность страховой (перестраховочной) организации,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заработанная страховая премия - часть страховой премии, относящаяся к истекшей части срока действия полиса;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полисный год - период между датой начала срока действия и датой окончания срока действия полиса;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расходы на урегулирование - сумма дополнительных расходов страховой (перестраховочной) организации по приобретению услуг (услуг оценщиков и юридических услуг), связанных с осуществлением страховых выплат;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чистая заработанная страховая премия - часть страховой премии, относящаяся к истекшей части срока действия полиса, без учета доли перестраховщика;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чистая сумма выплат - сумма страховых выплат без учета доли перестраховщика;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понесенные убытки - включают в себя страховые выплаты, расходы на урегулирование, а также изменение в резервах убытков за период расчета;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чистая сумма изменений в резервах убытков - изменения в резервах убытков без учета доли перестраховщика;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расходы - расходы по выплате комиссионного вознаграждения, налоговые сборы, взносы в АО "Фонд гарантирования страховых выплат", административные расходы и прочие, за исключением расходов на урегулирование.";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"размеру подписанных" заменить словами "сумме чистых заработанных страховых";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"Подписанные" заменить словами "Чистые заработанные страховые";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                               К. Кожахметов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финансового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2010 года № 106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расчета коэффициентов,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характеризующих убыточность страховой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(перестраховочной) организации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 </w:t>
      </w:r>
      <w:r>
        <w:rPr>
          <w:rFonts w:ascii="Times New Roman"/>
          <w:b/>
          <w:i w:val="false"/>
          <w:color w:val="000000"/>
          <w:sz w:val="28"/>
        </w:rPr>
        <w:t>Отчет о расчете комбинированного коэффициента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страховой (перестраховочной)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страховой (перестраховочной)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состоянию на "1" 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5"/>
        <w:gridCol w:w="5570"/>
        <w:gridCol w:w="624"/>
        <w:gridCol w:w="1713"/>
        <w:gridCol w:w="580"/>
        <w:gridCol w:w="1561"/>
        <w:gridCol w:w="624"/>
        <w:gridCol w:w="2043"/>
      </w:tblGrid>
      <w:tr>
        <w:trPr>
          <w:trHeight w:val="1080" w:hRule="atLeast"/>
        </w:trPr>
        <w:tc>
          <w:tcPr>
            <w:tcW w:w="1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резервах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премий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страхование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пассажирами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страхование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аудиторских организаций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туроператора и турагента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связана с 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причинения вреда 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причинение вреда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 работника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исполнении 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(служебных) обязанностей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 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жизни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аннуитетное страхование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к наступлению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события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жизни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участием страхователя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инвестиционном доходе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страховщика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имущественное страхование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грузов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имущества,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3.1-3.5 настоящего отчета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автомобильного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владельцев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ответственности,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указанных в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3.7-3.9 настоящего отчета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займов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 страхование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поручительств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убытков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 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всему страховому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портфелю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1074"/>
        <w:gridCol w:w="2026"/>
        <w:gridCol w:w="2178"/>
        <w:gridCol w:w="1918"/>
        <w:gridCol w:w="2329"/>
        <w:gridCol w:w="2677"/>
      </w:tblGrid>
      <w:tr>
        <w:trPr>
          <w:trHeight w:val="108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ходы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((5)+(7)+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(9))/(3)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((6)+(8)+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(9))/(4)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(10)/(4)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(11)+(13)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щика,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(12)+(13)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2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28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35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или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на подписание отчета __________ дата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Актуарий                            __________ дата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или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уполномоченное на подписание отчета __________ дата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                         __________ дата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