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3f9" w14:textId="a89e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деятельности регионального финансового центра города Алматы от 3 августа 2010 года № 04.2-40/124. Зарегистрирован в Министерстве юстиции Республики Казахстан от 20 сентября 2010 года № 6502.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5223, опубликованный в "Юридической газете" от 6 июня 2008 года № 85 (1485)),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приказа:</w:t>
      </w:r>
      <w:r>
        <w:br/>
      </w:r>
      <w:r>
        <w:rPr>
          <w:rFonts w:ascii="Times New Roman"/>
          <w:b w:val="false"/>
          <w:i w:val="false"/>
          <w:color w:val="000000"/>
          <w:sz w:val="28"/>
        </w:rPr>
        <w:t>
</w:t>
      </w:r>
      <w:r>
        <w:rPr>
          <w:rFonts w:ascii="Times New Roman"/>
          <w:b w:val="false"/>
          <w:i w:val="false"/>
          <w:color w:val="000000"/>
          <w:sz w:val="28"/>
        </w:rPr>
        <w:t>
      в абзаце первом цифры "8-9" заменить цифрами "8, 9 и 12";</w:t>
      </w:r>
      <w:r>
        <w:br/>
      </w:r>
      <w:r>
        <w:rPr>
          <w:rFonts w:ascii="Times New Roman"/>
          <w:b w:val="false"/>
          <w:i w:val="false"/>
          <w:color w:val="000000"/>
          <w:sz w:val="28"/>
        </w:rPr>
        <w:t>
</w:t>
      </w:r>
      <w:r>
        <w:rPr>
          <w:rFonts w:ascii="Times New Roman"/>
          <w:b w:val="false"/>
          <w:i w:val="false"/>
          <w:color w:val="000000"/>
          <w:sz w:val="28"/>
        </w:rPr>
        <w:t>
      в абзаце втором слова "пунктом 10-12" заменить словами "пунктами 10, 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вышеуказанному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6-1)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"6-1)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8)</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 исламские ценные бумаги.";</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"Во время нахождения акций в данной категории официального списка допускается снижение собственного капитала:</w:t>
      </w:r>
      <w:r>
        <w:br/>
      </w:r>
      <w:r>
        <w:rPr>
          <w:rFonts w:ascii="Times New Roman"/>
          <w:b w:val="false"/>
          <w:i w:val="false"/>
          <w:color w:val="000000"/>
          <w:sz w:val="28"/>
        </w:rPr>
        <w:t>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эмитента, не являющегося финансовой организацией, до величины, равной семидесяти процентам от суммы, эквивалентной восьми миллионам пятистам шестидесяти тысячекратному размеру МРП,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"Во время нахождения акций в данной категории официального списка допускается снижение собственного капитала:</w:t>
      </w:r>
      <w:r>
        <w:br/>
      </w:r>
      <w:r>
        <w:rPr>
          <w:rFonts w:ascii="Times New Roman"/>
          <w:b w:val="false"/>
          <w:i w:val="false"/>
          <w:color w:val="000000"/>
          <w:sz w:val="28"/>
        </w:rPr>
        <w:t>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эмитента, не являющегося финансовой организацией, до величины, равной семидесяти процентам от суммы, эквивалентной ста семидесяти одному тысячекратному размеру МРП,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10:</w:t>
      </w:r>
      <w:r>
        <w:br/>
      </w:r>
      <w:r>
        <w:rPr>
          <w:rFonts w:ascii="Times New Roman"/>
          <w:b w:val="false"/>
          <w:i w:val="false"/>
          <w:color w:val="000000"/>
          <w:sz w:val="28"/>
        </w:rPr>
        <w:t>
</w:t>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долговые ценные бумаги и их эмитент должны соответствовать требованиям, установленным подпунктами 1), 3), 6), 7) и 8) пункта 8 настоящих Требований.</w:t>
      </w:r>
      <w:r>
        <w:br/>
      </w:r>
      <w:r>
        <w:rPr>
          <w:rFonts w:ascii="Times New Roman"/>
          <w:b w:val="false"/>
          <w:i w:val="false"/>
          <w:color w:val="000000"/>
          <w:sz w:val="28"/>
        </w:rPr>
        <w:t>
      Перечень информации, раскрываемой акционерным обществом "Фонд национального благосостояния "Самрук-Казына", определяется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11:</w:t>
      </w:r>
      <w:r>
        <w:br/>
      </w:r>
      <w:r>
        <w:rPr>
          <w:rFonts w:ascii="Times New Roman"/>
          <w:b w:val="false"/>
          <w:i w:val="false"/>
          <w:color w:val="000000"/>
          <w:sz w:val="28"/>
        </w:rPr>
        <w:t>
</w:t>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"11-1. Сектор "исламские ценные бумаги" подразделяется на две категории: исламские арендные сертификаты и исламские сертификаты участия.</w:t>
      </w:r>
      <w:r>
        <w:br/>
      </w:r>
      <w:r>
        <w:rPr>
          <w:rFonts w:ascii="Times New Roman"/>
          <w:b w:val="false"/>
          <w:i w:val="false"/>
          <w:color w:val="000000"/>
          <w:sz w:val="28"/>
        </w:rPr>
        <w:t>
      11-2. Для включения исламских ценных бумаг в сектор "исламские ценные бумаги" категории "исламские арендные сертификаты" официального списка специальной торговой площадки финансового центра и их нахождения в нем данные ценные бумаги, их эмитент и оригинатор должны соответствовать следующим требованиям:</w:t>
      </w:r>
      <w:r>
        <w:br/>
      </w: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r>
        <w:br/>
      </w:r>
      <w:r>
        <w:rPr>
          <w:rFonts w:ascii="Times New Roman"/>
          <w:b w:val="false"/>
          <w:i w:val="false"/>
          <w:color w:val="000000"/>
          <w:sz w:val="28"/>
        </w:rPr>
        <w:t>
      2) государственная регистрация оригинатора осуществлена не менее чем за три года до дня подачи заявления о включении исламских ценных бумаг в официальный список. В соответствии с внутренними документами фондовой биржи может быть произведен зачет срока существования организации (организаций), в результате реорганизации которой (которых) был создан оригинатор;</w:t>
      </w:r>
      <w:r>
        <w:br/>
      </w:r>
      <w:r>
        <w:rPr>
          <w:rFonts w:ascii="Times New Roman"/>
          <w:b w:val="false"/>
          <w:i w:val="false"/>
          <w:color w:val="000000"/>
          <w:sz w:val="28"/>
        </w:rPr>
        <w:t>
      3) рейтинговая оценка присвоена исламской ценной бумаге и оригинатору одним из рейтинговых агентств, входящих в перечень рейтинговых агентств, рейтинговые оценки которых признаются уполномоченным органом по регулированию деятельности финансового центра.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4) оригинатор составляет финансовую отчетность в соответствии с МСФО или СФО США;</w:t>
      </w:r>
      <w:r>
        <w:br/>
      </w: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r>
        <w:br/>
      </w:r>
      <w:r>
        <w:rPr>
          <w:rFonts w:ascii="Times New Roman"/>
          <w:b w:val="false"/>
          <w:i w:val="false"/>
          <w:color w:val="000000"/>
          <w:sz w:val="28"/>
        </w:rPr>
        <w:t>
      последние три завершенных финансовых года, если заявление о включении исламских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 должно пройти не более шести месяцев до даты подачи заявления о включении исламских ценных бумаг в данную категорию.</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r>
        <w:br/>
      </w:r>
      <w:r>
        <w:rPr>
          <w:rFonts w:ascii="Times New Roman"/>
          <w:b w:val="false"/>
          <w:i w:val="false"/>
          <w:color w:val="000000"/>
          <w:sz w:val="28"/>
        </w:rPr>
        <w:t>
      6) собственный капитал оригинатора не может быть меньше его уставного капитала согласно финансовой отчетности на последнюю отчетную дату, подтвержденной аудиторским отчетом. При этом собственный капитал оригинатора составляет сумму, эквивалентную не менее восьми миллионов пятисот шестидесяти тысячекратного размера МРП согласно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7) чистая прибыль оригинатора за два из трех последних лет составляет сумму, эквивалентную не менее восьмидесяти пяти тысяч шестисоткратного размера МРП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8) проспект выпуска исламских ценных бумаг должен быть согласован советом по принципам исламского финансирования оригинатора;</w:t>
      </w:r>
      <w:r>
        <w:br/>
      </w:r>
      <w:r>
        <w:rPr>
          <w:rFonts w:ascii="Times New Roman"/>
          <w:b w:val="false"/>
          <w:i w:val="false"/>
          <w:color w:val="000000"/>
          <w:sz w:val="28"/>
        </w:rPr>
        <w:t>
      9) величина левереджа оригинатора не превышает двух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10) инициатор допуска представляет финансовую отчетность эмитента на последнюю отчетную дату;</w:t>
      </w:r>
      <w:r>
        <w:br/>
      </w:r>
      <w:r>
        <w:rPr>
          <w:rFonts w:ascii="Times New Roman"/>
          <w:b w:val="false"/>
          <w:i w:val="false"/>
          <w:color w:val="000000"/>
          <w:sz w:val="28"/>
        </w:rPr>
        <w:t>
      11) уставный капитал эмитента полностью оплачен учредителем;</w:t>
      </w:r>
      <w:r>
        <w:br/>
      </w:r>
      <w:r>
        <w:rPr>
          <w:rFonts w:ascii="Times New Roman"/>
          <w:b w:val="false"/>
          <w:i w:val="false"/>
          <w:color w:val="000000"/>
          <w:sz w:val="28"/>
        </w:rPr>
        <w:t>
      12)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r>
        <w:br/>
      </w:r>
      <w:r>
        <w:rPr>
          <w:rFonts w:ascii="Times New Roman"/>
          <w:b w:val="false"/>
          <w:i w:val="false"/>
          <w:color w:val="000000"/>
          <w:sz w:val="28"/>
        </w:rPr>
        <w:t>
      13) оценка выделенных активов эмитента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14)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r>
        <w:br/>
      </w:r>
      <w:r>
        <w:rPr>
          <w:rFonts w:ascii="Times New Roman"/>
          <w:b w:val="false"/>
          <w:i w:val="false"/>
          <w:color w:val="000000"/>
          <w:sz w:val="28"/>
        </w:rPr>
        <w:t>
      15) объекты имущества, входящие в состав выделенных активов, не обременены.</w:t>
      </w:r>
      <w:r>
        <w:br/>
      </w:r>
      <w:r>
        <w:rPr>
          <w:rFonts w:ascii="Times New Roman"/>
          <w:b w:val="false"/>
          <w:i w:val="false"/>
          <w:color w:val="000000"/>
          <w:sz w:val="28"/>
        </w:rPr>
        <w:t>
      11-3. Для включения исламских ценных бумаг в сектор "исламские ценные бумаги" категории "исламские сертификаты участия" официального списка специальной торговой площадки финансового центра и их нахождения в нем данные ценные бумаги, их эмитент и оригинатор должны соответствовать следующим требованиям:</w:t>
      </w:r>
      <w:r>
        <w:br/>
      </w:r>
      <w:r>
        <w:rPr>
          <w:rFonts w:ascii="Times New Roman"/>
          <w:b w:val="false"/>
          <w:i w:val="false"/>
          <w:color w:val="000000"/>
          <w:sz w:val="28"/>
        </w:rPr>
        <w:t>
      1) предусмотренным в подпунктах 1), 2), 3) 4), 5), 6), 7), 8), 9), 10), 11) пункта 11-2 настоящих Требований;</w:t>
      </w:r>
      <w:r>
        <w:br/>
      </w: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r>
        <w:br/>
      </w: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r>
        <w:br/>
      </w: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r>
        <w:br/>
      </w: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13-1 изложить в следующей редакции:</w:t>
      </w:r>
      <w:r>
        <w:br/>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"13-5.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настоящих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предусмотренных пунктом 13-1 настоящих Требований (далее - план мероприятий).</w:t>
      </w:r>
      <w:r>
        <w:br/>
      </w:r>
      <w:r>
        <w:rPr>
          <w:rFonts w:ascii="Times New Roman"/>
          <w:b w:val="false"/>
          <w:i w:val="false"/>
          <w:color w:val="000000"/>
          <w:sz w:val="28"/>
        </w:rPr>
        <w:t>
      Фондовая биржа в день получения плана мероприятий размещает его на своем официальном интернет-ресурсе.</w:t>
      </w:r>
      <w:r>
        <w:br/>
      </w:r>
      <w:r>
        <w:rPr>
          <w:rFonts w:ascii="Times New Roman"/>
          <w:b w:val="false"/>
          <w:i w:val="false"/>
          <w:color w:val="000000"/>
          <w:sz w:val="28"/>
        </w:rPr>
        <w:t>
      План мероприятий содержит:</w:t>
      </w:r>
      <w:r>
        <w:br/>
      </w:r>
      <w:r>
        <w:rPr>
          <w:rFonts w:ascii="Times New Roman"/>
          <w:b w:val="false"/>
          <w:i w:val="false"/>
          <w:color w:val="000000"/>
          <w:sz w:val="28"/>
        </w:rPr>
        <w:t>
      1) краткую характеристику деятельности эмитента;</w:t>
      </w:r>
      <w:r>
        <w:br/>
      </w:r>
      <w:r>
        <w:rPr>
          <w:rFonts w:ascii="Times New Roman"/>
          <w:b w:val="false"/>
          <w:i w:val="false"/>
          <w:color w:val="000000"/>
          <w:sz w:val="28"/>
        </w:rPr>
        <w:t>
      2) основные причины возникновения оснований для перевода ценных бумаг эмитента в категорию "буферная категория";</w:t>
      </w:r>
      <w:r>
        <w:br/>
      </w:r>
      <w:r>
        <w:rPr>
          <w:rFonts w:ascii="Times New Roman"/>
          <w:b w:val="false"/>
          <w:i w:val="false"/>
          <w:color w:val="000000"/>
          <w:sz w:val="28"/>
        </w:rPr>
        <w:t>
      3) основные мероприятия, предполагаемые к выполнению эмитентом, направленные на оздоровление финансового положения;</w:t>
      </w:r>
      <w:r>
        <w:br/>
      </w:r>
      <w:r>
        <w:rPr>
          <w:rFonts w:ascii="Times New Roman"/>
          <w:b w:val="false"/>
          <w:i w:val="false"/>
          <w:color w:val="000000"/>
          <w:sz w:val="28"/>
        </w:rPr>
        <w:t>
      4) сроки выполнения каждого из мероприятий, предусмотренных планом мероприятий;</w:t>
      </w:r>
      <w:r>
        <w:br/>
      </w:r>
      <w:r>
        <w:rPr>
          <w:rFonts w:ascii="Times New Roman"/>
          <w:b w:val="false"/>
          <w:i w:val="false"/>
          <w:color w:val="000000"/>
          <w:sz w:val="28"/>
        </w:rPr>
        <w:t>
      5) прогноз основных финансовых показателей эмитента;</w:t>
      </w:r>
      <w:r>
        <w:br/>
      </w:r>
      <w:r>
        <w:rPr>
          <w:rFonts w:ascii="Times New Roman"/>
          <w:b w:val="false"/>
          <w:i w:val="false"/>
          <w:color w:val="000000"/>
          <w:sz w:val="28"/>
        </w:rPr>
        <w:t>
      6) перечень лиц, ответственных за выполнение мероприятий, предусмотренных планом мероприятий.</w:t>
      </w:r>
      <w:r>
        <w:br/>
      </w: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13-6</w:t>
      </w:r>
      <w:r>
        <w:rPr>
          <w:rFonts w:ascii="Times New Roman"/>
          <w:b w:val="false"/>
          <w:i w:val="false"/>
          <w:color w:val="000000"/>
          <w:sz w:val="28"/>
        </w:rPr>
        <w:t xml:space="preserve"> слово "десяти" заменить словом "пятнадцати";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"14) оценка активов акционерного инвестиционного фонда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Действие настоящего подпункта распространяется на акционерный инвестиционный фонд, созданный в соответствии с законодательством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пункта 14-1 слово "либо" заменить словами "и не".</w:t>
      </w:r>
      <w:r>
        <w:br/>
      </w:r>
      <w:r>
        <w:rPr>
          <w:rFonts w:ascii="Times New Roman"/>
          <w:b w:val="false"/>
          <w:i w:val="false"/>
          <w:color w:val="000000"/>
          <w:sz w:val="28"/>
        </w:rPr>
        <w:t>
</w:t>
      </w:r>
      <w:r>
        <w:rPr>
          <w:rFonts w:ascii="Times New Roman"/>
          <w:b w:val="false"/>
          <w:i w:val="false"/>
          <w:color w:val="000000"/>
          <w:sz w:val="28"/>
        </w:rPr>
        <w:t>
      2. Департаменту развития Агентства Республики Казахстан по регулированию деятельности регионального финансового центра города Алматы (далее - Агентство):</w:t>
      </w:r>
      <w:r>
        <w:br/>
      </w:r>
      <w:r>
        <w:rPr>
          <w:rFonts w:ascii="Times New Roman"/>
          <w:b w:val="false"/>
          <w:i w:val="false"/>
          <w:color w:val="000000"/>
          <w:sz w:val="28"/>
        </w:rPr>
        <w:t>
</w:t>
      </w:r>
      <w:r>
        <w:rPr>
          <w:rFonts w:ascii="Times New Roman"/>
          <w:b w:val="false"/>
          <w:i w:val="false"/>
          <w:color w:val="000000"/>
          <w:sz w:val="28"/>
        </w:rPr>
        <w:t>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3) обеспечить публикацию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(Канапьянов Ч.С.).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Председателя</w:t>
      </w:r>
      <w:r>
        <w:rPr>
          <w:rFonts w:ascii="Times New Roman"/>
          <w:b w:val="false"/>
          <w:i w:val="false"/>
          <w:color w:val="000000"/>
          <w:sz w:val="28"/>
        </w:rPr>
        <w:t>                          </w:t>
      </w:r>
      <w:r>
        <w:rPr>
          <w:rFonts w:ascii="Times New Roman"/>
          <w:b w:val="false"/>
          <w:i/>
          <w:color w:val="000000"/>
          <w:sz w:val="28"/>
        </w:rPr>
        <w:t>Д. Нурпеисов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регулированию</w:t>
      </w:r>
      <w:r>
        <w:br/>
      </w:r>
      <w:r>
        <w:rPr>
          <w:rFonts w:ascii="Times New Roman"/>
          <w:b w:val="false"/>
          <w:i w:val="false"/>
          <w:color w:val="000000"/>
          <w:sz w:val="28"/>
        </w:rPr>
        <w:t>
</w:t>
      </w:r>
      <w:r>
        <w:rPr>
          <w:rFonts w:ascii="Times New Roman"/>
          <w:b w:val="false"/>
          <w:i/>
          <w:color w:val="000000"/>
          <w:sz w:val="28"/>
        </w:rPr>
        <w:t>      и надзору финансового</w:t>
      </w:r>
      <w:r>
        <w:br/>
      </w:r>
      <w:r>
        <w:rPr>
          <w:rFonts w:ascii="Times New Roman"/>
          <w:b w:val="false"/>
          <w:i w:val="false"/>
          <w:color w:val="000000"/>
          <w:sz w:val="28"/>
        </w:rPr>
        <w:t>
</w:t>
      </w:r>
      <w:r>
        <w:rPr>
          <w:rFonts w:ascii="Times New Roman"/>
          <w:b w:val="false"/>
          <w:i/>
          <w:color w:val="000000"/>
          <w:sz w:val="28"/>
        </w:rPr>
        <w:t>      рынка и финансовых организаций</w:t>
      </w:r>
      <w:r>
        <w:br/>
      </w:r>
      <w:r>
        <w:rPr>
          <w:rFonts w:ascii="Times New Roman"/>
          <w:b w:val="false"/>
          <w:i w:val="false"/>
          <w:color w:val="000000"/>
          <w:sz w:val="28"/>
        </w:rPr>
        <w:t>
</w:t>
      </w:r>
      <w:r>
        <w:rPr>
          <w:rFonts w:ascii="Times New Roman"/>
          <w:b w:val="false"/>
          <w:i/>
          <w:color w:val="000000"/>
          <w:sz w:val="28"/>
        </w:rPr>
        <w:t>      ______________Е. Бахмутова</w:t>
      </w:r>
      <w:r>
        <w:br/>
      </w:r>
      <w:r>
        <w:rPr>
          <w:rFonts w:ascii="Times New Roman"/>
          <w:b w:val="false"/>
          <w:i w:val="false"/>
          <w:color w:val="000000"/>
          <w:sz w:val="28"/>
        </w:rPr>
        <w:t>
</w:t>
      </w:r>
      <w:r>
        <w:rPr>
          <w:rFonts w:ascii="Times New Roman"/>
          <w:b w:val="false"/>
          <w:i/>
          <w:color w:val="000000"/>
          <w:sz w:val="28"/>
        </w:rPr>
        <w:t>      31 августа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