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3bde" w14:textId="1293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декабря 2010 года N 39/300. Зарегистрировано Управлением юстиции города Балхаш Карагандинской области 31 декабря 2010 года N 8-4-206. Прекратило свое действие в связи с истечением срока - (письмо Балхашского городского маслихата Карагандинской области от 29 марта 2012 года N 85/1-23)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29.03.2012 № 85/1-23).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4 126 995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2 174 855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1 887 209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4 337 609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74 958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285 572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285 572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221 978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319 110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000000"/>
          <w:sz w:val="28"/>
        </w:rPr>
        <w:t>N 43/334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05.08.2011 </w:t>
      </w:r>
      <w:r>
        <w:rPr>
          <w:rFonts w:ascii="Times New Roman"/>
          <w:b w:val="false"/>
          <w:i w:val="false"/>
          <w:color w:val="000000"/>
          <w:sz w:val="28"/>
        </w:rPr>
        <w:t>N 48/371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21.09.2011 </w:t>
      </w:r>
      <w:r>
        <w:rPr>
          <w:rFonts w:ascii="Times New Roman"/>
          <w:b w:val="false"/>
          <w:i w:val="false"/>
          <w:color w:val="000000"/>
          <w:sz w:val="28"/>
        </w:rPr>
        <w:t>N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12.10.2011 </w:t>
      </w:r>
      <w:r>
        <w:rPr>
          <w:rFonts w:ascii="Times New Roman"/>
          <w:b w:val="false"/>
          <w:i w:val="false"/>
          <w:color w:val="000000"/>
          <w:sz w:val="28"/>
        </w:rPr>
        <w:t>N 51/396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09.11.2011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08.12.2011 </w:t>
      </w:r>
      <w:r>
        <w:rPr>
          <w:rFonts w:ascii="Times New Roman"/>
          <w:b w:val="false"/>
          <w:i w:val="false"/>
          <w:color w:val="000000"/>
          <w:sz w:val="28"/>
        </w:rPr>
        <w:t>N 54/407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нормативы распределения доходов в областной бюджет,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2011 год предусмотрены субвенции из областного бюджета в сумме 977 341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2011 год предусмотрены целевые текущие трансферты в сумме 8 192 тысячи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составе поступлений городского бюджета на 2011 год предусмотрены целевые текущие трансферты в сумме 11 710 тысячи тенге на профессиональную подготовку, переподготовку и повышение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43/334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составе поступлений городского бюджета на 2011 год предусмотрены целевые текущие трансферты в сумме 16 028 тысяч тенге на увеличение размера доплаты за квалификационную категорию учителям школ и воспитателям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43/334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составе поступлений городского бюджета на 2011 год предусмотрены целевые текущие трансферты в сумме 2 070 тысяч тенге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43/334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Учесть, что в составе поступлений городского бюджета на 2011 год предусмотрены целевые текущие трансферты в сумме 1 140 тысяч тенге на "Организацию внутрипоселковых (внутригородских) и внутрирайонных общественных пассажирских перевозок".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4-5 в соответствии с решением Балхашского городского маслихата Карагандинской области от 05.08.2011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48/371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городского бюджета на 2011 год предусмотрены целевые текущие трансферты в сумме 5 409 тысяча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городского бюджета на 2011 год предусмотрены целевые текущие трансферты в сумме 71 911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43/334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43/334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поступлений городского бюджета на 2011 год предусмотрены целевые текущие трансферты в сумме 28 123 тысячи тенге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поступлений городского бюджета на 2011 год предусмотрены целевые текущие трансферты в сумме 6 534 тысяч тенге на введение стандартов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поступлений городского бюджета на 2011 год предусмотрены целевые текущие трансферты в сумме 1 560 тысяч тенге на поддержку частного предпринимательства в рамках программы "Дорожная карта бизнеса - 2020".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поступлений городского бюджета на 2011 год предусмотрены целевые текущие трансферты в сумме 1 739 тысяч тенге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Балхашского городского маслихата Карагандинской области от 24.03.2011  </w:t>
      </w:r>
      <w:r>
        <w:rPr>
          <w:rFonts w:ascii="Times New Roman"/>
          <w:b w:val="false"/>
          <w:i w:val="false"/>
          <w:color w:val="000000"/>
          <w:sz w:val="28"/>
        </w:rPr>
        <w:t>N 43/334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09.11.2011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52/399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поступлений городского бюджета на 2011 год предусмотрены целевые трансферты на развитие в сумме 284 466 тысяч тенге на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Балхашского городского маслихата Карагандинской области от 21.09.2011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50/383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12.10.2011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51/396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09.11.2011 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08.12.2011 </w:t>
      </w:r>
      <w:r>
        <w:rPr>
          <w:rFonts w:ascii="Times New Roman"/>
          <w:b w:val="false"/>
          <w:i w:val="false"/>
          <w:color w:val="000000"/>
          <w:sz w:val="28"/>
        </w:rPr>
        <w:t>N 54/407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Учесть, что в составе поступлений городского бюджета на 2011 год предусмотрены целевые трансферты на развитие в сумме 8 193 тысячи тенге на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43/334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городского бюджета на 2011 год предусмотрены целевые трансферты на развитие в сумме 75 000 тысяч тенге на строительство, восстановление и реконструкцию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составе поступлений городского бюджета на 2011 год предусмотрены целевые трансферты на развитие в сумме 15 660 тысяч тенге на развитие и обустройство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Балхашского городского маслихата Карагандинской области от 21.09.2011 </w:t>
      </w:r>
      <w:r>
        <w:rPr>
          <w:rFonts w:ascii="Times New Roman"/>
          <w:b w:val="false"/>
          <w:i w:val="false"/>
          <w:color w:val="000000"/>
          <w:sz w:val="28"/>
        </w:rPr>
        <w:t>N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составе поступлений городского бюджета на 2011 год предусмотрены целевые текущие трансферты в сумме 222 845 тысяч тенге на развитие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52/399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составе поступлений городского бюджета на 2011 год предусмотрены целевые трансферты на развитие в сумме 149 288 тысяч тенге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Учесть, что в составе поступлений городского бюджета на 2011 год предусмотрены бюджетные кредиты в сумме 218440 тысяч тенге на строительство и (или) приобретение жилья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Балхашского городского маслихата Карагандинской области от 17.06.2011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46/354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города Балхаш на 2011 год в сумме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N 52/399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Установить, что в составе затрат городского бюджета на 2011 год учтены расходы по бюджетным программам, реализуемым в поселках Конырат, Саяк, Гулшат,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Установить, что в процессе исполнения городского бюджета на 2011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бюджетных программ развития городского бюджета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Балхашского городского маслихата Карагандинской области от 08.12.2011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54/407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20"/>
        <w:gridCol w:w="641"/>
        <w:gridCol w:w="10225"/>
        <w:gridCol w:w="189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4126995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2174855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480780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155011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18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749"/>
        <w:gridCol w:w="791"/>
        <w:gridCol w:w="9140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4337609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117651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1979030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1979030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1918881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189098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72509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15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456778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432925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485366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-285572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667"/>
        <w:gridCol w:w="10195"/>
        <w:gridCol w:w="208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3580866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2401704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848754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848754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554987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554987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598019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1129258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1129258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3"/>
        <w:gridCol w:w="716"/>
        <w:gridCol w:w="780"/>
        <w:gridCol w:w="9357"/>
        <w:gridCol w:w="21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3463868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180982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88203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2188147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2066711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2066711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66351</w:t>
            </w:r>
          </w:p>
        </w:tc>
      </w:tr>
      <w:tr>
        <w:trPr>
          <w:trHeight w:val="15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131601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248912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248912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49842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116998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66"/>
        <w:gridCol w:w="687"/>
        <w:gridCol w:w="10053"/>
        <w:gridCol w:w="209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3700498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2562676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930687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930687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598583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229737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1084627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1084627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10"/>
        <w:gridCol w:w="695"/>
        <w:gridCol w:w="696"/>
        <w:gridCol w:w="9329"/>
        <w:gridCol w:w="21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3624670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161512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91288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2237387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2107451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2040893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181608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70995</w:t>
            </w:r>
          </w:p>
        </w:tc>
      </w:tr>
      <w:tr>
        <w:trPr>
          <w:trHeight w:val="15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15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15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267873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38477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111659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296175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75828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Конырат на 2011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Балхашского городского маслихата Карагандинской области от 12.10.2011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51/396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01"/>
        <w:gridCol w:w="735"/>
        <w:gridCol w:w="714"/>
        <w:gridCol w:w="9414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Саяк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717"/>
        <w:gridCol w:w="717"/>
        <w:gridCol w:w="9201"/>
        <w:gridCol w:w="21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реализуемым в поселке Гулшат на 2011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Балхашского городского маслихата Карагандинской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52/399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59"/>
        <w:gridCol w:w="706"/>
        <w:gridCol w:w="685"/>
        <w:gridCol w:w="9778"/>
        <w:gridCol w:w="1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793"/>
        <w:gridCol w:w="688"/>
        <w:gridCol w:w="113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Балхашского городского маслихата Карагандинской области от 24.03.2011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43/334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688"/>
        <w:gridCol w:w="730"/>
        <w:gridCol w:w="113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