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ffc6" w14:textId="8e7f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охранных зонах, зонах регулирования застройки, зонах охраняемого природного ландшафта памятников истории и культуры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областного маслихата № 29/334 от 13 декабря 2010 года. Зарегистрировано Департаментом юстиции Мангистауской области № 2094 от 20 января 2011 года. Утратило силу решением Мангистауского областного маслихата от 29 мая 2020 года № 36/437</w:t>
      </w:r>
    </w:p>
    <w:p>
      <w:pPr>
        <w:spacing w:after="0"/>
        <w:ind w:left="0"/>
        <w:jc w:val="both"/>
      </w:pPr>
      <w:bookmarkStart w:name="z1" w:id="0"/>
      <w:r>
        <w:rPr>
          <w:rFonts w:ascii="Times New Roman"/>
          <w:b w:val="false"/>
          <w:i w:val="false"/>
          <w:color w:val="ff0000"/>
          <w:sz w:val="28"/>
        </w:rPr>
        <w:t xml:space="preserve">
      Сноска. Утратило силу решением Мангистауского областного маслихата Мангистауской области от 29.05.2020 </w:t>
      </w:r>
      <w:r>
        <w:rPr>
          <w:rFonts w:ascii="Times New Roman"/>
          <w:b w:val="false"/>
          <w:i w:val="false"/>
          <w:color w:val="ff0000"/>
          <w:sz w:val="28"/>
        </w:rPr>
        <w:t xml:space="preserve">№ 36/437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Закона Республики Казахстан "Об охране и использовании объектов историко - культурного наследия" от 2 июля 1992 года областной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границы охранных зон, зон регулирования и зон охраняемого природного ландшафта памятников истории и культуры:</w:t>
      </w:r>
    </w:p>
    <w:bookmarkEnd w:id="1"/>
    <w:p>
      <w:pPr>
        <w:spacing w:after="0"/>
        <w:ind w:left="0"/>
        <w:jc w:val="both"/>
      </w:pPr>
      <w:r>
        <w:rPr>
          <w:rFonts w:ascii="Times New Roman"/>
          <w:b w:val="false"/>
          <w:i w:val="false"/>
          <w:color w:val="000000"/>
          <w:sz w:val="28"/>
        </w:rPr>
        <w:t>
      "Некрополя Старый Бейнеу", расположенного в Бейнеуском районе;</w:t>
      </w:r>
    </w:p>
    <w:p>
      <w:pPr>
        <w:spacing w:after="0"/>
        <w:ind w:left="0"/>
        <w:jc w:val="both"/>
      </w:pPr>
      <w:r>
        <w:rPr>
          <w:rFonts w:ascii="Times New Roman"/>
          <w:b w:val="false"/>
          <w:i w:val="false"/>
          <w:color w:val="000000"/>
          <w:sz w:val="28"/>
        </w:rPr>
        <w:t>
      "Некрополя Караман - ата", расположенного в Мангистауском районе;</w:t>
      </w:r>
    </w:p>
    <w:p>
      <w:pPr>
        <w:spacing w:after="0"/>
        <w:ind w:left="0"/>
        <w:jc w:val="both"/>
      </w:pPr>
      <w:r>
        <w:rPr>
          <w:rFonts w:ascii="Times New Roman"/>
          <w:b w:val="false"/>
          <w:i w:val="false"/>
          <w:color w:val="000000"/>
          <w:sz w:val="28"/>
        </w:rPr>
        <w:t>
      "Некрополя Сисем - ата", расположенного в Мангистауском районе;</w:t>
      </w:r>
    </w:p>
    <w:p>
      <w:pPr>
        <w:spacing w:after="0"/>
        <w:ind w:left="0"/>
        <w:jc w:val="both"/>
      </w:pPr>
      <w:r>
        <w:rPr>
          <w:rFonts w:ascii="Times New Roman"/>
          <w:b w:val="false"/>
          <w:i w:val="false"/>
          <w:color w:val="000000"/>
          <w:sz w:val="28"/>
        </w:rPr>
        <w:t>
      "Подземной мечети и некрополя Шакпак - ата", расположенных в Тупкараганском районе, согласно приложениям № 1, 2, 3, 4 к настоящему решению.</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их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Сарбасов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Чельпеков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Начальник управления</w:t>
      </w:r>
    </w:p>
    <w:p>
      <w:pPr>
        <w:spacing w:after="0"/>
        <w:ind w:left="0"/>
        <w:jc w:val="both"/>
      </w:pPr>
      <w:r>
        <w:rPr>
          <w:rFonts w:ascii="Times New Roman"/>
          <w:b w:val="false"/>
          <w:i w:val="false"/>
          <w:color w:val="000000"/>
          <w:sz w:val="28"/>
        </w:rPr>
        <w:t>
      культуры области</w:t>
      </w:r>
    </w:p>
    <w:p>
      <w:pPr>
        <w:spacing w:after="0"/>
        <w:ind w:left="0"/>
        <w:jc w:val="both"/>
      </w:pPr>
      <w:r>
        <w:rPr>
          <w:rFonts w:ascii="Times New Roman"/>
          <w:b w:val="false"/>
          <w:i w:val="false"/>
          <w:color w:val="000000"/>
          <w:sz w:val="28"/>
        </w:rPr>
        <w:t>
      М. Гумарова</w:t>
      </w:r>
    </w:p>
    <w:p>
      <w:pPr>
        <w:spacing w:after="0"/>
        <w:ind w:left="0"/>
        <w:jc w:val="both"/>
      </w:pPr>
      <w:r>
        <w:rPr>
          <w:rFonts w:ascii="Times New Roman"/>
          <w:b w:val="false"/>
          <w:i w:val="false"/>
          <w:color w:val="000000"/>
          <w:sz w:val="28"/>
        </w:rPr>
        <w:t>
      13 декабря 2010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областного маслихата</w:t>
            </w:r>
            <w:r>
              <w:br/>
            </w:r>
            <w:r>
              <w:rPr>
                <w:rFonts w:ascii="Times New Roman"/>
                <w:b w:val="false"/>
                <w:i w:val="false"/>
                <w:color w:val="000000"/>
                <w:sz w:val="20"/>
              </w:rPr>
              <w:t>от 13 декабря 2010 года № 29/334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Границы охранной зоны, зоны регулирования застройки,</w:t>
      </w:r>
      <w:r>
        <w:br/>
      </w:r>
      <w:r>
        <w:rPr>
          <w:rFonts w:ascii="Times New Roman"/>
          <w:b/>
          <w:i w:val="false"/>
          <w:color w:val="000000"/>
        </w:rPr>
        <w:t>зоны охраняемого природного ландшафта памятника</w:t>
      </w:r>
      <w:r>
        <w:br/>
      </w:r>
      <w:r>
        <w:rPr>
          <w:rFonts w:ascii="Times New Roman"/>
          <w:b/>
          <w:i w:val="false"/>
          <w:color w:val="000000"/>
        </w:rPr>
        <w:t>"Некрополь Старый Бейнеу"</w:t>
      </w:r>
    </w:p>
    <w:p>
      <w:pPr>
        <w:spacing w:after="0"/>
        <w:ind w:left="0"/>
        <w:jc w:val="both"/>
      </w:pPr>
      <w:r>
        <w:rPr>
          <w:rFonts w:ascii="Times New Roman"/>
          <w:b w:val="false"/>
          <w:i w:val="false"/>
          <w:color w:val="000000"/>
          <w:sz w:val="28"/>
        </w:rPr>
        <w:t>
      Охранная зона памятника проходит по границам ландшафта, являющегося функционально неотъемлемой частью существования исторического поселения Бейнеу. В охранную зону вошли:</w:t>
      </w:r>
    </w:p>
    <w:p>
      <w:pPr>
        <w:spacing w:after="0"/>
        <w:ind w:left="0"/>
        <w:jc w:val="both"/>
      </w:pPr>
      <w:r>
        <w:rPr>
          <w:rFonts w:ascii="Times New Roman"/>
          <w:b w:val="false"/>
          <w:i w:val="false"/>
          <w:color w:val="000000"/>
          <w:sz w:val="28"/>
        </w:rPr>
        <w:t>
      историческое поселение Бейнеу, состоящее из археологических остатков зимовок кочевников - скотоводов и современных традиционных зимовок на территории исторического поселения;</w:t>
      </w:r>
    </w:p>
    <w:p>
      <w:pPr>
        <w:spacing w:after="0"/>
        <w:ind w:left="0"/>
        <w:jc w:val="both"/>
      </w:pPr>
      <w:r>
        <w:rPr>
          <w:rFonts w:ascii="Times New Roman"/>
          <w:b w:val="false"/>
          <w:i w:val="false"/>
          <w:color w:val="000000"/>
          <w:sz w:val="28"/>
        </w:rPr>
        <w:t>
      пастбища, традиционно используемые скотоводами, проживающими в  этих  зимовках;</w:t>
      </w:r>
    </w:p>
    <w:p>
      <w:pPr>
        <w:spacing w:after="0"/>
        <w:ind w:left="0"/>
        <w:jc w:val="both"/>
      </w:pPr>
      <w:r>
        <w:rPr>
          <w:rFonts w:ascii="Times New Roman"/>
          <w:b w:val="false"/>
          <w:i w:val="false"/>
          <w:color w:val="000000"/>
          <w:sz w:val="28"/>
        </w:rPr>
        <w:t>
      подземная мечеть Бекет - ата;</w:t>
      </w:r>
    </w:p>
    <w:p>
      <w:pPr>
        <w:spacing w:after="0"/>
        <w:ind w:left="0"/>
        <w:jc w:val="both"/>
      </w:pPr>
      <w:r>
        <w:rPr>
          <w:rFonts w:ascii="Times New Roman"/>
          <w:b w:val="false"/>
          <w:i w:val="false"/>
          <w:color w:val="000000"/>
          <w:sz w:val="28"/>
        </w:rPr>
        <w:t>
      исторический некрополь Бейнеу;</w:t>
      </w:r>
    </w:p>
    <w:p>
      <w:pPr>
        <w:spacing w:after="0"/>
        <w:ind w:left="0"/>
        <w:jc w:val="both"/>
      </w:pPr>
      <w:r>
        <w:rPr>
          <w:rFonts w:ascii="Times New Roman"/>
          <w:b w:val="false"/>
          <w:i w:val="false"/>
          <w:color w:val="000000"/>
          <w:sz w:val="28"/>
        </w:rPr>
        <w:t>
      колодцы;</w:t>
      </w:r>
    </w:p>
    <w:p>
      <w:pPr>
        <w:spacing w:after="0"/>
        <w:ind w:left="0"/>
        <w:jc w:val="both"/>
      </w:pPr>
      <w:r>
        <w:rPr>
          <w:rFonts w:ascii="Times New Roman"/>
          <w:b w:val="false"/>
          <w:i w:val="false"/>
          <w:color w:val="000000"/>
          <w:sz w:val="28"/>
        </w:rPr>
        <w:t>
      курганы;</w:t>
      </w:r>
    </w:p>
    <w:p>
      <w:pPr>
        <w:spacing w:after="0"/>
        <w:ind w:left="0"/>
        <w:jc w:val="both"/>
      </w:pPr>
      <w:r>
        <w:rPr>
          <w:rFonts w:ascii="Times New Roman"/>
          <w:b w:val="false"/>
          <w:i w:val="false"/>
          <w:color w:val="000000"/>
          <w:sz w:val="28"/>
        </w:rPr>
        <w:t>
      древние дороги.</w:t>
      </w:r>
    </w:p>
    <w:p>
      <w:pPr>
        <w:spacing w:after="0"/>
        <w:ind w:left="0"/>
        <w:jc w:val="both"/>
      </w:pPr>
      <w:r>
        <w:rPr>
          <w:rFonts w:ascii="Times New Roman"/>
          <w:b w:val="false"/>
          <w:i w:val="false"/>
          <w:color w:val="000000"/>
          <w:sz w:val="28"/>
        </w:rPr>
        <w:t>
      Общая площадь охранной зоны памятника составляет 449 га.</w:t>
      </w:r>
    </w:p>
    <w:p>
      <w:pPr>
        <w:spacing w:after="0"/>
        <w:ind w:left="0"/>
        <w:jc w:val="both"/>
      </w:pPr>
      <w:r>
        <w:rPr>
          <w:rFonts w:ascii="Times New Roman"/>
          <w:b w:val="false"/>
          <w:i w:val="false"/>
          <w:color w:val="000000"/>
          <w:sz w:val="28"/>
        </w:rPr>
        <w:t>
      Зона регулируемой застройки занимает территорию, прилегающую к современным основным дорогам и их пересечению, а также территории с застройкой близ расположенных (с севера) небольших поселений, и территории, прилегающие к действующему карьеру по добыче известняка. Площадь зоны регулируемой застройки – 640га.</w:t>
      </w:r>
    </w:p>
    <w:p>
      <w:pPr>
        <w:spacing w:after="0"/>
        <w:ind w:left="0"/>
        <w:jc w:val="both"/>
      </w:pPr>
      <w:r>
        <w:rPr>
          <w:rFonts w:ascii="Times New Roman"/>
          <w:b w:val="false"/>
          <w:i w:val="false"/>
          <w:color w:val="000000"/>
          <w:sz w:val="28"/>
        </w:rPr>
        <w:t>
      Зона охраняемого природного ландшафта занимает территорию, прилегающую к границам охранной зоны памятника. В нее входит важное для истории и жизни поселения природное окружение, имеющее высокое научное значение и высокие эстетические качества. Площадь зоны охраняемого природного ландшафта – 1190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областного маслихата</w:t>
            </w:r>
            <w:r>
              <w:br/>
            </w:r>
            <w:r>
              <w:rPr>
                <w:rFonts w:ascii="Times New Roman"/>
                <w:b w:val="false"/>
                <w:i w:val="false"/>
                <w:color w:val="000000"/>
                <w:sz w:val="20"/>
              </w:rPr>
              <w:t>от 13 декабря 2010 года № 29/334</w:t>
            </w:r>
          </w:p>
        </w:tc>
      </w:tr>
    </w:tbl>
    <w:p>
      <w:pPr>
        <w:spacing w:after="0"/>
        <w:ind w:left="0"/>
        <w:jc w:val="left"/>
      </w:pPr>
      <w:r>
        <w:rPr>
          <w:rFonts w:ascii="Times New Roman"/>
          <w:b/>
          <w:i w:val="false"/>
          <w:color w:val="000000"/>
        </w:rPr>
        <w:t xml:space="preserve"> Границы охранной зоны, зоны регулирования застройки,</w:t>
      </w:r>
      <w:r>
        <w:br/>
      </w:r>
      <w:r>
        <w:rPr>
          <w:rFonts w:ascii="Times New Roman"/>
          <w:b/>
          <w:i w:val="false"/>
          <w:color w:val="000000"/>
        </w:rPr>
        <w:t>зоны охраняемого природного ландшафта памятника</w:t>
      </w:r>
      <w:r>
        <w:br/>
      </w:r>
      <w:r>
        <w:rPr>
          <w:rFonts w:ascii="Times New Roman"/>
          <w:b/>
          <w:i w:val="false"/>
          <w:color w:val="000000"/>
        </w:rPr>
        <w:t>"Некрополь Караман - ата"</w:t>
      </w:r>
    </w:p>
    <w:p>
      <w:pPr>
        <w:spacing w:after="0"/>
        <w:ind w:left="0"/>
        <w:jc w:val="both"/>
      </w:pPr>
      <w:r>
        <w:rPr>
          <w:rFonts w:ascii="Times New Roman"/>
          <w:b w:val="false"/>
          <w:i w:val="false"/>
          <w:color w:val="000000"/>
          <w:sz w:val="28"/>
        </w:rPr>
        <w:t>
      Охранная зона памятника проходит по границам ландшафта, являющегося функционально неотъемлемой частью "Некрополя Караман - ата". В охранную зону вошли:</w:t>
      </w:r>
    </w:p>
    <w:p>
      <w:pPr>
        <w:spacing w:after="0"/>
        <w:ind w:left="0"/>
        <w:jc w:val="both"/>
      </w:pPr>
      <w:r>
        <w:rPr>
          <w:rFonts w:ascii="Times New Roman"/>
          <w:b w:val="false"/>
          <w:i w:val="false"/>
          <w:color w:val="000000"/>
          <w:sz w:val="28"/>
        </w:rPr>
        <w:t>
      подземная мечеть Караман - ата;</w:t>
      </w:r>
    </w:p>
    <w:p>
      <w:pPr>
        <w:spacing w:after="0"/>
        <w:ind w:left="0"/>
        <w:jc w:val="both"/>
      </w:pPr>
      <w:r>
        <w:rPr>
          <w:rFonts w:ascii="Times New Roman"/>
          <w:b w:val="false"/>
          <w:i w:val="false"/>
          <w:color w:val="000000"/>
          <w:sz w:val="28"/>
        </w:rPr>
        <w:t>
      некрополь Караман - ата.</w:t>
      </w:r>
    </w:p>
    <w:p>
      <w:pPr>
        <w:spacing w:after="0"/>
        <w:ind w:left="0"/>
        <w:jc w:val="both"/>
      </w:pPr>
      <w:r>
        <w:rPr>
          <w:rFonts w:ascii="Times New Roman"/>
          <w:b w:val="false"/>
          <w:i w:val="false"/>
          <w:color w:val="000000"/>
          <w:sz w:val="28"/>
        </w:rPr>
        <w:t>
      В настоящее время основная часть некрополя Караман-Ата огорожена  забором. Общая площадь некрополя – 4га. В юго - западной части за ограждениями некрополя находятся надгробные памятники, датируемые 8 - 9 вв., в количестве 40 штук, которые также являются составной частью памятника. Общая площадь охранной зоны памятника составляет 7,2 га.</w:t>
      </w:r>
    </w:p>
    <w:p>
      <w:pPr>
        <w:spacing w:after="0"/>
        <w:ind w:left="0"/>
        <w:jc w:val="both"/>
      </w:pPr>
      <w:r>
        <w:rPr>
          <w:rFonts w:ascii="Times New Roman"/>
          <w:b w:val="false"/>
          <w:i w:val="false"/>
          <w:color w:val="000000"/>
          <w:sz w:val="28"/>
        </w:rPr>
        <w:t>
      Зона регулирования застройки занимает территорию, прилегающую к охранной зоне памятника. Поскольку памятник относится к категории культово - мемориальной  архитектуры, возможна застройка только по назначению памятника. Территорию за ограждением в северо - восточной части некрополя в зоне регулирования застройки предлагается отвести под обустройство новых захоронений. C западной части некрополя находится комплекс застройки, предназначенный для паломников. Площадь – 11,2 га.</w:t>
      </w:r>
    </w:p>
    <w:p>
      <w:pPr>
        <w:spacing w:after="0"/>
        <w:ind w:left="0"/>
        <w:jc w:val="both"/>
      </w:pPr>
      <w:r>
        <w:rPr>
          <w:rFonts w:ascii="Times New Roman"/>
          <w:b w:val="false"/>
          <w:i w:val="false"/>
          <w:color w:val="000000"/>
          <w:sz w:val="28"/>
        </w:rPr>
        <w:t>
      Зона охраняемого природного ландшафта занимает территорию, прилегающую к границам охранной зоны памятника, в радиусе 2-2,5 км на расстоянии точки восприятия объекта. В нее входит важное для истории развития комплекса природное окружение, имеющее высокое научное значение и высокие эстетические качества. Зона охраняемого природного ландшафта имеет площадь 1621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областного маслихата</w:t>
            </w:r>
            <w:r>
              <w:br/>
            </w:r>
            <w:r>
              <w:rPr>
                <w:rFonts w:ascii="Times New Roman"/>
                <w:b w:val="false"/>
                <w:i w:val="false"/>
                <w:color w:val="000000"/>
                <w:sz w:val="20"/>
              </w:rPr>
              <w:t>от 13 декабря 2010 года № 29/334</w:t>
            </w:r>
          </w:p>
        </w:tc>
      </w:tr>
    </w:tbl>
    <w:p>
      <w:pPr>
        <w:spacing w:after="0"/>
        <w:ind w:left="0"/>
        <w:jc w:val="left"/>
      </w:pPr>
      <w:r>
        <w:rPr>
          <w:rFonts w:ascii="Times New Roman"/>
          <w:b/>
          <w:i w:val="false"/>
          <w:color w:val="000000"/>
        </w:rPr>
        <w:t xml:space="preserve"> Границы охранной зоны, зоны регулирования застройки,</w:t>
      </w:r>
      <w:r>
        <w:br/>
      </w:r>
      <w:r>
        <w:rPr>
          <w:rFonts w:ascii="Times New Roman"/>
          <w:b/>
          <w:i w:val="false"/>
          <w:color w:val="000000"/>
        </w:rPr>
        <w:t>зоны охраняемого природного ландшафта памятника</w:t>
      </w:r>
      <w:r>
        <w:br/>
      </w:r>
      <w:r>
        <w:rPr>
          <w:rFonts w:ascii="Times New Roman"/>
          <w:b/>
          <w:i w:val="false"/>
          <w:color w:val="000000"/>
        </w:rPr>
        <w:t>"Некрополь Сисем - ата"</w:t>
      </w:r>
    </w:p>
    <w:p>
      <w:pPr>
        <w:spacing w:after="0"/>
        <w:ind w:left="0"/>
        <w:jc w:val="both"/>
      </w:pPr>
      <w:r>
        <w:rPr>
          <w:rFonts w:ascii="Times New Roman"/>
          <w:b w:val="false"/>
          <w:i w:val="false"/>
          <w:color w:val="000000"/>
          <w:sz w:val="28"/>
        </w:rPr>
        <w:t>
      В охранную зону памятника входит территория непосредственно некрополя Сисем - ата и прилегающая к нему территория на расстоянии 200-250 м. Общая площадь охранной зоны памятника составляет 58 га.</w:t>
      </w:r>
    </w:p>
    <w:p>
      <w:pPr>
        <w:spacing w:after="0"/>
        <w:ind w:left="0"/>
        <w:jc w:val="both"/>
      </w:pPr>
      <w:r>
        <w:rPr>
          <w:rFonts w:ascii="Times New Roman"/>
          <w:b w:val="false"/>
          <w:i w:val="false"/>
          <w:color w:val="000000"/>
          <w:sz w:val="28"/>
        </w:rPr>
        <w:t>
      Зона регулируемой застройки включает территории, на которых расположены существующие традиционные поселения скотоводов – зимовки и летовки, древние караванные дороги и маркирующие их колодцы, остатки поселений.</w:t>
      </w:r>
    </w:p>
    <w:p>
      <w:pPr>
        <w:spacing w:after="0"/>
        <w:ind w:left="0"/>
        <w:jc w:val="both"/>
      </w:pPr>
      <w:r>
        <w:rPr>
          <w:rFonts w:ascii="Times New Roman"/>
          <w:b w:val="false"/>
          <w:i w:val="false"/>
          <w:color w:val="000000"/>
          <w:sz w:val="28"/>
        </w:rPr>
        <w:t>
      Площадь зоны регулируемой застройки – 1100 га.</w:t>
      </w:r>
    </w:p>
    <w:p>
      <w:pPr>
        <w:spacing w:after="0"/>
        <w:ind w:left="0"/>
        <w:jc w:val="both"/>
      </w:pPr>
      <w:r>
        <w:rPr>
          <w:rFonts w:ascii="Times New Roman"/>
          <w:b w:val="false"/>
          <w:i w:val="false"/>
          <w:color w:val="000000"/>
          <w:sz w:val="28"/>
        </w:rPr>
        <w:t>
      Памятник представляет собой сложный природно - культурный ландшафт. Его главным ядром является некрополь Сисем - ата, который неразрывно связан с остальными природными и культурными компонентами этого ландшафта. В связи с этим назначаются зоны охраняемого природного ландшафта с двумя режимами охраны:</w:t>
      </w:r>
    </w:p>
    <w:p>
      <w:pPr>
        <w:spacing w:after="0"/>
        <w:ind w:left="0"/>
        <w:jc w:val="both"/>
      </w:pPr>
      <w:r>
        <w:rPr>
          <w:rFonts w:ascii="Times New Roman"/>
          <w:b w:val="false"/>
          <w:i w:val="false"/>
          <w:color w:val="000000"/>
          <w:sz w:val="28"/>
        </w:rPr>
        <w:t>
      зона строго охраняемого природного и культурного ландшафта;</w:t>
      </w:r>
    </w:p>
    <w:p>
      <w:pPr>
        <w:spacing w:after="0"/>
        <w:ind w:left="0"/>
        <w:jc w:val="both"/>
      </w:pPr>
      <w:r>
        <w:rPr>
          <w:rFonts w:ascii="Times New Roman"/>
          <w:b w:val="false"/>
          <w:i w:val="false"/>
          <w:color w:val="000000"/>
          <w:sz w:val="28"/>
        </w:rPr>
        <w:t>
      зона охраняемого природного ландшафта.</w:t>
      </w:r>
    </w:p>
    <w:p>
      <w:pPr>
        <w:spacing w:after="0"/>
        <w:ind w:left="0"/>
        <w:jc w:val="both"/>
      </w:pPr>
      <w:r>
        <w:rPr>
          <w:rFonts w:ascii="Times New Roman"/>
          <w:b w:val="false"/>
          <w:i w:val="false"/>
          <w:color w:val="000000"/>
          <w:sz w:val="28"/>
        </w:rPr>
        <w:t>
      Зона строго охраняемого природного и культурного ландшафта занимает территорию, прилегающую к границам охранной зоны некрополя Сисем - ата, а также объекты историко - культурного наследия и природное окружение, имеющее историческую и функциональную связь с некрополем. Она имеет площадь зон строго охраняемого природного и культурного ландшафта – 2050 га и 475 га.</w:t>
      </w:r>
    </w:p>
    <w:p>
      <w:pPr>
        <w:spacing w:after="0"/>
        <w:ind w:left="0"/>
        <w:jc w:val="both"/>
      </w:pPr>
      <w:r>
        <w:rPr>
          <w:rFonts w:ascii="Times New Roman"/>
          <w:b w:val="false"/>
          <w:i w:val="false"/>
          <w:color w:val="000000"/>
          <w:sz w:val="28"/>
        </w:rPr>
        <w:t>
      Зона охраняемого природного ландшафта занимает территорию природного окружения объектов культурного наследия и с древних времен используется местным населением как пастбищные угодья. Является типичным ландшафтом пустыни в этой части западного чинка плата Устюрт и средой обитания кочевых и полукочевых племен скотоводов с эпохи бронзового века. Здесь сохранились многие эндемичные и реликтовые растения, встречаются животные, занесенные в Красную книгу.</w:t>
      </w:r>
    </w:p>
    <w:p>
      <w:pPr>
        <w:spacing w:after="0"/>
        <w:ind w:left="0"/>
        <w:jc w:val="both"/>
      </w:pPr>
      <w:r>
        <w:rPr>
          <w:rFonts w:ascii="Times New Roman"/>
          <w:b w:val="false"/>
          <w:i w:val="false"/>
          <w:color w:val="000000"/>
          <w:sz w:val="28"/>
        </w:rPr>
        <w:t>
      Площадь зоны охраняемого природного ландшафта – 11 845 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областного маслихата</w:t>
            </w:r>
            <w:r>
              <w:br/>
            </w:r>
            <w:r>
              <w:rPr>
                <w:rFonts w:ascii="Times New Roman"/>
                <w:b w:val="false"/>
                <w:i w:val="false"/>
                <w:color w:val="000000"/>
                <w:sz w:val="20"/>
              </w:rPr>
              <w:t>от 13 декабря 2010 года № 29/334</w:t>
            </w:r>
          </w:p>
        </w:tc>
      </w:tr>
    </w:tbl>
    <w:p>
      <w:pPr>
        <w:spacing w:after="0"/>
        <w:ind w:left="0"/>
        <w:jc w:val="left"/>
      </w:pPr>
      <w:r>
        <w:rPr>
          <w:rFonts w:ascii="Times New Roman"/>
          <w:b/>
          <w:i w:val="false"/>
          <w:color w:val="000000"/>
        </w:rPr>
        <w:t xml:space="preserve"> Границы охранной зоны, зоны регулирования застройки, зоны</w:t>
      </w:r>
      <w:r>
        <w:br/>
      </w:r>
      <w:r>
        <w:rPr>
          <w:rFonts w:ascii="Times New Roman"/>
          <w:b/>
          <w:i w:val="false"/>
          <w:color w:val="000000"/>
        </w:rPr>
        <w:t>охраняемого природного ландшафта памятника</w:t>
      </w:r>
      <w:r>
        <w:br/>
      </w:r>
      <w:r>
        <w:rPr>
          <w:rFonts w:ascii="Times New Roman"/>
          <w:b/>
          <w:i w:val="false"/>
          <w:color w:val="000000"/>
        </w:rPr>
        <w:t>"Подземная мечеть и некрополь Шакпак - ата"</w:t>
      </w:r>
    </w:p>
    <w:p>
      <w:pPr>
        <w:spacing w:after="0"/>
        <w:ind w:left="0"/>
        <w:jc w:val="both"/>
      </w:pPr>
      <w:r>
        <w:rPr>
          <w:rFonts w:ascii="Times New Roman"/>
          <w:b w:val="false"/>
          <w:i w:val="false"/>
          <w:color w:val="000000"/>
          <w:sz w:val="28"/>
        </w:rPr>
        <w:t>
      Охранная зона памятника устанавливается в пределах территории памятника с включением видовых точек ближнего плана. В территорию охранной зоны входят:</w:t>
      </w:r>
    </w:p>
    <w:p>
      <w:pPr>
        <w:spacing w:after="0"/>
        <w:ind w:left="0"/>
        <w:jc w:val="both"/>
      </w:pPr>
      <w:r>
        <w:rPr>
          <w:rFonts w:ascii="Times New Roman"/>
          <w:b w:val="false"/>
          <w:i w:val="false"/>
          <w:color w:val="000000"/>
          <w:sz w:val="28"/>
        </w:rPr>
        <w:t>
      скальная мечеть с искусственными гротами-нишами;</w:t>
      </w:r>
    </w:p>
    <w:p>
      <w:pPr>
        <w:spacing w:after="0"/>
        <w:ind w:left="0"/>
        <w:jc w:val="both"/>
      </w:pPr>
      <w:r>
        <w:rPr>
          <w:rFonts w:ascii="Times New Roman"/>
          <w:b w:val="false"/>
          <w:i w:val="false"/>
          <w:color w:val="000000"/>
          <w:sz w:val="28"/>
        </w:rPr>
        <w:t>
      некрополь на верхней  и нижней террасах;</w:t>
      </w:r>
    </w:p>
    <w:p>
      <w:pPr>
        <w:spacing w:after="0"/>
        <w:ind w:left="0"/>
        <w:jc w:val="both"/>
      </w:pPr>
      <w:r>
        <w:rPr>
          <w:rFonts w:ascii="Times New Roman"/>
          <w:b w:val="false"/>
          <w:i w:val="false"/>
          <w:color w:val="000000"/>
          <w:sz w:val="28"/>
        </w:rPr>
        <w:t>
      поздние каменоломни;</w:t>
      </w:r>
    </w:p>
    <w:p>
      <w:pPr>
        <w:spacing w:after="0"/>
        <w:ind w:left="0"/>
        <w:jc w:val="both"/>
      </w:pPr>
      <w:r>
        <w:rPr>
          <w:rFonts w:ascii="Times New Roman"/>
          <w:b w:val="false"/>
          <w:i w:val="false"/>
          <w:color w:val="000000"/>
          <w:sz w:val="28"/>
        </w:rPr>
        <w:t>
      зона охраны  культурного археологического слоя: территории, на которой находятся памятники археологии, а также территории возможного нахождения археологических ценностей</w:t>
      </w:r>
    </w:p>
    <w:p>
      <w:pPr>
        <w:spacing w:after="0"/>
        <w:ind w:left="0"/>
        <w:jc w:val="both"/>
      </w:pPr>
      <w:r>
        <w:rPr>
          <w:rFonts w:ascii="Times New Roman"/>
          <w:b w:val="false"/>
          <w:i w:val="false"/>
          <w:color w:val="000000"/>
          <w:sz w:val="28"/>
        </w:rPr>
        <w:t>
      территория 0,3 га., прилежащая к северу от некрополя, отводимая под новые захоронения.</w:t>
      </w:r>
    </w:p>
    <w:p>
      <w:pPr>
        <w:spacing w:after="0"/>
        <w:ind w:left="0"/>
        <w:jc w:val="both"/>
      </w:pPr>
      <w:r>
        <w:rPr>
          <w:rFonts w:ascii="Times New Roman"/>
          <w:b w:val="false"/>
          <w:i w:val="false"/>
          <w:color w:val="000000"/>
          <w:sz w:val="28"/>
        </w:rPr>
        <w:t>
      Зона регулирования застройки примыкает к зоне охраны памятника, охватывает территорию, включающую видовые точки дальнего плана, а также территорию, по которой проходят коридоры  основных транспортных путей подхода к памятнику и территорию возможной застройки.</w:t>
      </w:r>
    </w:p>
    <w:p>
      <w:pPr>
        <w:spacing w:after="0"/>
        <w:ind w:left="0"/>
        <w:jc w:val="both"/>
      </w:pPr>
      <w:r>
        <w:rPr>
          <w:rFonts w:ascii="Times New Roman"/>
          <w:b w:val="false"/>
          <w:i w:val="false"/>
          <w:color w:val="000000"/>
          <w:sz w:val="28"/>
        </w:rPr>
        <w:t>
      Зона охраняемого природного ландшафта предназначена для охраны ценного природного ландшафта, рельефа местности, являющегося главным составляющим компонентом приморской долины. Границы зоны охраняемого природного ландшафта определены бассейном видимости  на основе ландшафтного анализа. Зона охраны ландшафта подразделяется на две подзоны:</w:t>
      </w:r>
    </w:p>
    <w:p>
      <w:pPr>
        <w:spacing w:after="0"/>
        <w:ind w:left="0"/>
        <w:jc w:val="both"/>
      </w:pPr>
      <w:r>
        <w:rPr>
          <w:rFonts w:ascii="Times New Roman"/>
          <w:b w:val="false"/>
          <w:i w:val="false"/>
          <w:color w:val="000000"/>
          <w:sz w:val="28"/>
        </w:rPr>
        <w:t>
      подзона 1 предназначена для охраны крутых склонов скал. Площадь - 57,9 га.</w:t>
      </w:r>
    </w:p>
    <w:p>
      <w:pPr>
        <w:spacing w:after="0"/>
        <w:ind w:left="0"/>
        <w:jc w:val="both"/>
      </w:pPr>
      <w:r>
        <w:rPr>
          <w:rFonts w:ascii="Times New Roman"/>
          <w:b w:val="false"/>
          <w:i w:val="false"/>
          <w:color w:val="000000"/>
          <w:sz w:val="28"/>
        </w:rPr>
        <w:t>
      подзона 2 предназначена для охраны общего характера местности, составляющей привычный фон для исторической застройки. Площадь территории – 432,3 га.</w:t>
      </w:r>
    </w:p>
    <w:p>
      <w:pPr>
        <w:spacing w:after="0"/>
        <w:ind w:left="0"/>
        <w:jc w:val="both"/>
      </w:pPr>
      <w:r>
        <w:rPr>
          <w:rFonts w:ascii="Times New Roman"/>
          <w:b w:val="false"/>
          <w:i w:val="false"/>
          <w:color w:val="000000"/>
          <w:sz w:val="28"/>
        </w:rPr>
        <w:t>
      Общая территория заповедной зоны  составляет  558,9 га, в том числе:</w:t>
      </w:r>
    </w:p>
    <w:p>
      <w:pPr>
        <w:spacing w:after="0"/>
        <w:ind w:left="0"/>
        <w:jc w:val="both"/>
      </w:pPr>
      <w:r>
        <w:rPr>
          <w:rFonts w:ascii="Times New Roman"/>
          <w:b w:val="false"/>
          <w:i w:val="false"/>
          <w:color w:val="000000"/>
          <w:sz w:val="28"/>
        </w:rPr>
        <w:t>
      площадь охранной зоны комплекса Шакпак Ата – 42,7 га,</w:t>
      </w:r>
    </w:p>
    <w:p>
      <w:pPr>
        <w:spacing w:after="0"/>
        <w:ind w:left="0"/>
        <w:jc w:val="both"/>
      </w:pPr>
      <w:r>
        <w:rPr>
          <w:rFonts w:ascii="Times New Roman"/>
          <w:b w:val="false"/>
          <w:i w:val="false"/>
          <w:color w:val="000000"/>
          <w:sz w:val="28"/>
        </w:rPr>
        <w:t>
      зона охраны культурного археологического слоя – 150,7га,</w:t>
      </w:r>
    </w:p>
    <w:p>
      <w:pPr>
        <w:spacing w:after="0"/>
        <w:ind w:left="0"/>
        <w:jc w:val="both"/>
      </w:pPr>
      <w:r>
        <w:rPr>
          <w:rFonts w:ascii="Times New Roman"/>
          <w:b w:val="false"/>
          <w:i w:val="false"/>
          <w:color w:val="000000"/>
          <w:sz w:val="28"/>
        </w:rPr>
        <w:t>
      площадь зоны регулируемой застройки - 26 га,</w:t>
      </w:r>
    </w:p>
    <w:p>
      <w:pPr>
        <w:spacing w:after="0"/>
        <w:ind w:left="0"/>
        <w:jc w:val="both"/>
      </w:pPr>
      <w:r>
        <w:rPr>
          <w:rFonts w:ascii="Times New Roman"/>
          <w:b w:val="false"/>
          <w:i w:val="false"/>
          <w:color w:val="000000"/>
          <w:sz w:val="28"/>
        </w:rPr>
        <w:t>
      охранная зона природного ландшафта – 432,3 га и 57,9 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