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1b12" w14:textId="dd41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в государственном лесном фонде и особо охраняемых природных территориях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30 апреля 2010 года № 306. Зарегистрировано Департаментом юстиции Костанайской области 14 июня 2010 года № 3721. Утратило силу решением маслихата Костанайской области от 8 декабря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Костанайской области от 08.12.2016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решением маслихата Костанайской области от 10.06.2011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внесены изменения на государственном языке, заголовок и текст на русском языке не изменяется решением маслихата Костанайской области от 14.07.2016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ставки платы за заготовку древесных соков на участках государственного лесного фонда по Костанайской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ставки платы за заготовку второстепенных древесных ресурсов на участках государственного лесного фонда по Костанайской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ставки платы за пользование участками государственного лесного фонда и особо охраняемых природных территорий для нужд охотничьего хозяйства, научно-исследовательских, культурно-оздоровительных, туристских, рекреационных и спортивных целей по Костанайской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маслихата Костанайской области от 10.06.2011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ставки платы за побочные лесные пользования на участках государственного лесного фонда по Костанайской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К.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2010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древесных соков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по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505"/>
        <w:gridCol w:w="5601"/>
        <w:gridCol w:w="505"/>
        <w:gridCol w:w="43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рыночных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(березового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2010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</w:t>
      </w:r>
      <w:r>
        <w:br/>
      </w:r>
      <w:r>
        <w:rPr>
          <w:rFonts w:ascii="Times New Roman"/>
          <w:b/>
          <w:i w:val="false"/>
          <w:color w:val="000000"/>
        </w:rPr>
        <w:t>древесных ресурсов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 по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9"/>
        <w:gridCol w:w="1131"/>
        <w:gridCol w:w="6170"/>
      </w:tblGrid>
      <w:tr>
        <w:trPr>
          <w:trHeight w:val="30" w:hRule="atLeast"/>
        </w:trPr>
        <w:tc>
          <w:tcPr>
            <w:tcW w:w="4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затрат на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Береза: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Осина, тополь: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Акация 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кустарниковые,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облепиха, жузгун,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 (ветви)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2011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2010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 для нужд охотничьего</w:t>
      </w:r>
      <w:r>
        <w:br/>
      </w:r>
      <w:r>
        <w:rPr>
          <w:rFonts w:ascii="Times New Roman"/>
          <w:b/>
          <w:i w:val="false"/>
          <w:color w:val="000000"/>
        </w:rPr>
        <w:t>хозяйства, научно-исследовательских,</w:t>
      </w:r>
      <w:r>
        <w:br/>
      </w:r>
      <w:r>
        <w:rPr>
          <w:rFonts w:ascii="Times New Roman"/>
          <w:b/>
          <w:i w:val="false"/>
          <w:color w:val="000000"/>
        </w:rPr>
        <w:t>культурно-оздоровительных, туристских, рекреационных</w:t>
      </w:r>
      <w:r>
        <w:br/>
      </w:r>
      <w:r>
        <w:rPr>
          <w:rFonts w:ascii="Times New Roman"/>
          <w:b/>
          <w:i w:val="false"/>
          <w:color w:val="000000"/>
        </w:rPr>
        <w:t>и спортивных целей по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маслихата Костанайской области от 10.06.2011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868"/>
        <w:gridCol w:w="7227"/>
      </w:tblGrid>
      <w:tr>
        <w:trPr>
          <w:trHeight w:val="30" w:hRule="atLeast"/>
        </w:trPr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Долгосрочное лесопользование (от 10 до 49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тенге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 тенге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 нужд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тенге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Краткосрочное лесопользование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2010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по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1020"/>
        <w:gridCol w:w="1963"/>
        <w:gridCol w:w="2729"/>
        <w:gridCol w:w="3860"/>
      </w:tblGrid>
      <w:tr>
        <w:trPr>
          <w:trHeight w:val="30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рыночных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Долгосрочное лесопользование (от 10 до 49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Краткосрочное лесопользование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кровохлебка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лабазник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горькая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солодка гладкая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тысячелистник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Маршаллиевский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 иглистый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 коричный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378 "О налогах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платежах в бюджет"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