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3891b" w14:textId="45389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Денисовского района на 2011-2013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22 декабря 2010 года № 257. Зарегистрировано Управлением юстиции Денисовского района Костанайской области 28 декабря 2010 года № 9-8-167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на основании решения Костанайского областного маслихата от 13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Костанайской области на 2011-2013 годы" (зарегистрировано в Реестре государственной регистрации нормативных правовых актов за № 3744) и рассмотрев постановление акимата Денисовского района от 13 декабря 2010 года № 341 "О внесении на рассмотрение сессии маслихата проекта решения маслихата "О бюджете Денисовского района на 2011-2013 годы"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Денисовского района на 2011 - 2013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1719414,8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398372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17788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10007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1293247,8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1725749,7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16649,5 тысяч тенге, в том числе: бюджетные кредиты – 17243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593,5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5525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5525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– -28509,4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28509,4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Денисовского района Костанайской области от 14.11.2011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Принять к сведению, что объем субвенций из областного бюджета в бюджет района на 2011 год установлен в сумме 956587 тысяч тенге. Бюджетные изъятия из районного бюджета в областной бюджет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2-1. Учесть, что в бюджете района на 2011 год предусмотрен возврат целевых трансфертов на сумму 3537,3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3287,4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249,9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маслихата Денисовского района Костанайской области от 28.01.2011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в редакции от 14.11.2011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2-2. Учесть, что в районном бюджете на 2011 год предусмотрены трансферты из нижестоящих бюджетов в областной бюджет в связи с упразднением ревизионных комиссий районов (городов областного значения), их аппаратов и созданием государственного учреждения "Ревизионная комиссия по Костанайской области в сумме 925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Сноска. Решение дополнено пунктом 2-2 в соответствии с решением маслихата Денисовского района Костанайской области от 22.07.2011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района на 2011 год предусмотрены расходы за счет целевых текущих трансфертов и трансфертов на развитие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  средней школы № 1 - 178559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компьютерной и организационной техники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внедрения системы "Казначейство- Клиент" - 5598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установку пожарной сигнализации -1500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подготовку к отопительному сезону 2011-2012 годов - 10000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материально-техническое оснащение объектов коммунальной собственности - 3526 тысяч тенге для приобретения мусоровоза КО-440-2 на базе ГАЗ 3309 в государственное коммунальное предприятие "Дидар" "Отдела жилищно - коммунального хозяйства, пассажирского транспорта и автомобильных дорог Денисовского района и акимата Денисовского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насосной станции второго подъема с установкой двух резервуаров чистой воды емкостью 700 кубических метров каждый, село Денисовка Денисовского района – 50000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моста через реку Мукыр – Аят на автомобильной дороге "Денисовка - станция Зааятская – Приреченка – Аршалы - Комаровка" 0,62 километра (проектно-изыскательные работы) - 11200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водоснабжения сел Аятское и Зааятское Денисовского района Костанайской области - 8000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решения маслихата Денисовского района Костанайской области от 22.07.2011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3-1. Учесть, что в бюджете района на 2011 год предусмотрены расходы за счет целевых текущих трансфертов из республиканского бюджета,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– 14990,6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по оказанию социальной поддержки специалистов – 3650,4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ежемесячные выплаты денежных средств опекунам (попечителям), на содержание ребенка-сироты (детей-сирот), оставшегося без попечения родителей – 7212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поддержку частного предпринимательства в рамках программы "Дорожная карта бизнеса - 2020" – 659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Государственной программы развития образования в Республике Казахстан на 2011-2020 годы – 25149,8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8192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основного среднего и общего среднего образования – 15949,8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– 1008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в рамках Программы занятости 2020 – 6332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центров занятости – 5617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– 715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размеров доплаты за квалификационную категорию учителям школ и воспитателям дошкольных организаций образования – 6524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3760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3-1 в соответствии с решением маслихата Денисовского района Костанайской области от 28.01.2011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в редакции от 14.11.2011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3-2. Учесть, что в бюджете района на 2011 год предусмотрены выплаты сумм бюджетных кредитов, полученных из республиканского бюджета, для реализации мер социальной поддержки специалистов – 17243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3-2 в соответствии с решением маслихата Денисовского района Костанайской области от 28.01.2011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в редакции от 14.11.2011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3-3. Учесть, что в бюджете района на 2011 год предусмотрен возврат неиспользованных бюджетных кредитов, полученных из областного бюджета в 2010 году, для реализации мер социальной поддержки специалистов - 8896 тысяч тенге и обслуживание долга местных исполнительных органов по выплате вознаграждений и иных платежей по займам из республиканского бюджета в сумме 0,7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3-3 в соответствии с решением маслихата Денисовского района Костанайской области от 27.10.2011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в редакции от 14.11.2011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Денисовского района на 2011 год в сумме 3700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бюджетных программ аппаратов акима поселка, аула (села), аульного сельского округа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бюджетных программ, не подлежащих секвестру в процессе исполнения бюджета Денисовского района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шестнадцатой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Суербасов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Денисовского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Тойбагоров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</w:t>
      </w:r>
      <w:r>
        <w:rPr>
          <w:rFonts w:ascii="Times New Roman"/>
          <w:b w:val="false"/>
          <w:i/>
          <w:color w:val="000000"/>
          <w:sz w:val="28"/>
        </w:rPr>
        <w:t>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Денисовского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Подело Е.Н.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№ 257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ноября 2011 года № 79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Денисовского района Костанайской области от 14.11.2011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253"/>
        <w:gridCol w:w="241"/>
        <w:gridCol w:w="241"/>
        <w:gridCol w:w="8193"/>
        <w:gridCol w:w="19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 о х о д 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1719414,8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398372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183374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183374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115615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115615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81366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46193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22057</w:t>
            </w:r>
          </w:p>
        </w:tc>
      </w:tr>
      <w:tr>
        <w:trPr>
          <w:trHeight w:val="2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16291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</w:t>
            </w:r>
          </w:p>
        </w:tc>
      </w:tr>
      <w:tr>
        <w:trPr>
          <w:trHeight w:val="5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11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17788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5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76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76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9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8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17268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17268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</w:t>
            </w:r>
          </w:p>
        </w:tc>
      </w:tr>
      <w:tr>
        <w:trPr>
          <w:trHeight w:val="6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1293247,8</w:t>
            </w:r>
          </w:p>
        </w:tc>
      </w:tr>
      <w:tr>
        <w:trPr>
          <w:trHeight w:val="5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1293247,8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1293247,8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93"/>
        <w:gridCol w:w="833"/>
        <w:gridCol w:w="753"/>
        <w:gridCol w:w="6853"/>
        <w:gridCol w:w="21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1725749,7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171464,3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153278,3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11218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48546,3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45512,3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93514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91266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17564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17564</w:t>
            </w:r>
          </w:p>
        </w:tc>
      </w:tr>
      <w:tr>
        <w:trPr>
          <w:trHeight w:val="16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17189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1140940,8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47004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47004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40480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1051411,8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1051059,8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1033184,8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17875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42525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42525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19402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62507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49361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49361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</w:t>
            </w:r>
          </w:p>
        </w:tc>
      </w:tr>
      <w:tr>
        <w:trPr>
          <w:trHeight w:val="13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13146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13146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12971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80212,9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67764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14064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9126,9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8811,9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2505,9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86992,7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25118,7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25118,7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25118,7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33716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8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32943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3840,4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3840,4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3650,4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14990,6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14990,6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14990,6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</w:tr>
      <w:tr>
        <w:trPr>
          <w:trHeight w:val="14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109306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109306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13312</w:t>
            </w:r>
          </w:p>
        </w:tc>
      </w:tr>
      <w:tr>
        <w:trPr>
          <w:trHeight w:val="8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13312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95994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84794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22863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22805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- 2020"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</w:p>
        </w:tc>
      </w:tr>
      <w:tr>
        <w:trPr>
          <w:trHeight w:val="8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13957</w:t>
            </w:r>
          </w:p>
        </w:tc>
      </w:tr>
      <w:tr>
        <w:trPr>
          <w:trHeight w:val="11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13742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4462,3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4462,3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4462,3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3537,3</w:t>
            </w:r>
          </w:p>
        </w:tc>
      </w:tr>
      <w:tr>
        <w:trPr>
          <w:trHeight w:val="10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16649,5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17243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17243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17243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17243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17243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593,5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593,5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593,5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-28509,4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28509,4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№ 257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маслихата Денисовского района Костанайской области от 28.01.2011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402"/>
        <w:gridCol w:w="381"/>
        <w:gridCol w:w="8698"/>
        <w:gridCol w:w="169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1508086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433049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198874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198874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136121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136121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80014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46057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19887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16421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</w:t>
            </w:r>
          </w:p>
        </w:tc>
      </w:tr>
      <w:tr>
        <w:trPr>
          <w:trHeight w:val="6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26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</w:t>
            </w:r>
          </w:p>
        </w:tc>
      </w:tr>
      <w:tr>
        <w:trPr>
          <w:trHeight w:val="6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11052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11052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1058860</w:t>
            </w:r>
          </w:p>
        </w:tc>
      </w:tr>
      <w:tr>
        <w:trPr>
          <w:trHeight w:val="6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1058860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340"/>
        <w:gridCol w:w="841"/>
        <w:gridCol w:w="885"/>
        <w:gridCol w:w="6809"/>
        <w:gridCol w:w="186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1502086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190266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169593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14099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14099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49087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48339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106407</w:t>
            </w:r>
          </w:p>
        </w:tc>
      </w:tr>
      <w:tr>
        <w:trPr>
          <w:trHeight w:val="9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100707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10403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10403</w:t>
            </w:r>
          </w:p>
        </w:tc>
      </w:tr>
      <w:tr>
        <w:trPr>
          <w:trHeight w:val="147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</w:p>
        </w:tc>
      </w:tr>
      <w:tr>
        <w:trPr>
          <w:trHeight w:val="9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10270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10270</w:t>
            </w:r>
          </w:p>
        </w:tc>
      </w:tr>
      <w:tr>
        <w:trPr>
          <w:trHeight w:val="126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6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891882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45056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45056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45056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828530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828376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811026</w:t>
            </w:r>
          </w:p>
        </w:tc>
      </w:tr>
      <w:tr>
        <w:trPr>
          <w:trHeight w:val="28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17350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18296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18296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</w:t>
            </w:r>
          </w:p>
        </w:tc>
      </w:tr>
      <w:tr>
        <w:trPr>
          <w:trHeight w:val="9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63482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47366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47366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14220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13265</w:t>
            </w:r>
          </w:p>
        </w:tc>
      </w:tr>
      <w:tr>
        <w:trPr>
          <w:trHeight w:val="157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16116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16116</w:t>
            </w:r>
          </w:p>
        </w:tc>
      </w:tr>
      <w:tr>
        <w:trPr>
          <w:trHeight w:val="9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15814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120821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9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112733</w:t>
            </w:r>
          </w:p>
        </w:tc>
      </w:tr>
      <w:tr>
        <w:trPr>
          <w:trHeight w:val="9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</w:p>
        </w:tc>
      </w:tr>
      <w:tr>
        <w:trPr>
          <w:trHeight w:val="96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тепловых сетей,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111044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101044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</w:t>
            </w:r>
          </w:p>
        </w:tc>
      </w:tr>
      <w:tr>
        <w:trPr>
          <w:trHeight w:val="9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80639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24801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24801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24801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9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30065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28545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27360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16211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</w:t>
            </w:r>
          </w:p>
        </w:tc>
      </w:tr>
      <w:tr>
        <w:trPr>
          <w:trHeight w:val="9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</w:t>
            </w:r>
          </w:p>
        </w:tc>
      </w:tr>
      <w:tr>
        <w:trPr>
          <w:trHeight w:val="6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</w:t>
            </w:r>
          </w:p>
        </w:tc>
      </w:tr>
      <w:tr>
        <w:trPr>
          <w:trHeight w:val="9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20241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</w:t>
            </w:r>
          </w:p>
        </w:tc>
      </w:tr>
      <w:tr>
        <w:trPr>
          <w:trHeight w:val="45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уничтожения бродячих собак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кошек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8209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8209</w:t>
            </w:r>
          </w:p>
        </w:tc>
      </w:tr>
      <w:tr>
        <w:trPr>
          <w:trHeight w:val="9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зонированию земель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</w:t>
            </w:r>
          </w:p>
        </w:tc>
      </w:tr>
      <w:tr>
        <w:trPr>
          <w:trHeight w:val="157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городов, районов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114618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114618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9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9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100374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100374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11047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</w:t>
            </w:r>
          </w:p>
        </w:tc>
      </w:tr>
      <w:tr>
        <w:trPr>
          <w:trHeight w:val="57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</w:t>
            </w:r>
          </w:p>
        </w:tc>
      </w:tr>
      <w:tr>
        <w:trPr>
          <w:trHeight w:val="9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</w:t>
            </w:r>
          </w:p>
        </w:tc>
      </w:tr>
      <w:tr>
        <w:trPr>
          <w:trHeight w:val="9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</w:t>
            </w:r>
          </w:p>
        </w:tc>
      </w:tr>
      <w:tr>
        <w:trPr>
          <w:trHeight w:val="9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34938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35532</w:t>
            </w:r>
          </w:p>
        </w:tc>
      </w:tr>
      <w:tr>
        <w:trPr>
          <w:trHeight w:val="9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35532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35532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35532</w:t>
            </w:r>
          </w:p>
        </w:tc>
      </w:tr>
      <w:tr>
        <w:trPr>
          <w:trHeight w:val="9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368"/>
        <w:gridCol w:w="368"/>
        <w:gridCol w:w="612"/>
        <w:gridCol w:w="8100"/>
        <w:gridCol w:w="169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424"/>
        <w:gridCol w:w="813"/>
        <w:gridCol w:w="835"/>
        <w:gridCol w:w="7234"/>
        <w:gridCol w:w="1657"/>
      </w:tblGrid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-34938</w:t>
            </w:r>
          </w:p>
        </w:tc>
      </w:tr>
      <w:tr>
        <w:trPr>
          <w:trHeight w:val="5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№ 257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решения маслихата Денисовского района Костанайской области от 28.01.2011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363"/>
        <w:gridCol w:w="385"/>
        <w:gridCol w:w="8599"/>
        <w:gridCol w:w="180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2173060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493977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243300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243300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150918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150918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81407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46057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16619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2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20128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18478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18478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8783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1650172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1650172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1650172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361"/>
        <w:gridCol w:w="796"/>
        <w:gridCol w:w="840"/>
        <w:gridCol w:w="6992"/>
        <w:gridCol w:w="177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2173060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192910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171555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14282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14162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48795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48047</w:t>
            </w:r>
          </w:p>
        </w:tc>
      </w:tr>
      <w:tr>
        <w:trPr>
          <w:trHeight w:val="3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108478</w:t>
            </w:r>
          </w:p>
        </w:tc>
      </w:tr>
      <w:tr>
        <w:trPr>
          <w:trHeight w:val="94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100848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11143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11143</w:t>
            </w:r>
          </w:p>
        </w:tc>
      </w:tr>
      <w:tr>
        <w:trPr>
          <w:trHeight w:val="147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</w:t>
            </w:r>
          </w:p>
        </w:tc>
      </w:tr>
      <w:tr>
        <w:trPr>
          <w:trHeight w:val="94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</w:t>
            </w:r>
          </w:p>
        </w:tc>
      </w:tr>
      <w:tr>
        <w:trPr>
          <w:trHeight w:val="126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6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1053843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45056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45056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45056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840850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840674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822828</w:t>
            </w:r>
          </w:p>
        </w:tc>
      </w:tr>
      <w:tr>
        <w:trPr>
          <w:trHeight w:val="28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17846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167937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17937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10471</w:t>
            </w:r>
          </w:p>
        </w:tc>
      </w:tr>
      <w:tr>
        <w:trPr>
          <w:trHeight w:val="94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65968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48294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48294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14193</w:t>
            </w:r>
          </w:p>
        </w:tc>
      </w:tr>
      <w:tr>
        <w:trPr>
          <w:trHeight w:val="15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17674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17674</w:t>
            </w:r>
          </w:p>
        </w:tc>
      </w:tr>
      <w:tr>
        <w:trPr>
          <w:trHeight w:val="94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17565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94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</w:p>
        </w:tc>
      </w:tr>
      <w:tr>
        <w:trPr>
          <w:trHeight w:val="94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</w:p>
        </w:tc>
      </w:tr>
      <w:tr>
        <w:trPr>
          <w:trHeight w:val="96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тепловых сетей,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</w:t>
            </w:r>
          </w:p>
        </w:tc>
      </w:tr>
      <w:tr>
        <w:trPr>
          <w:trHeight w:val="94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82494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24801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24801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24801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94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30087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28567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27360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18044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</w:p>
        </w:tc>
      </w:tr>
      <w:tr>
        <w:trPr>
          <w:trHeight w:val="126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</w:p>
        </w:tc>
      </w:tr>
      <w:tr>
        <w:trPr>
          <w:trHeight w:val="64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94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578096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11974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11974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11814</w:t>
            </w:r>
          </w:p>
        </w:tc>
      </w:tr>
      <w:tr>
        <w:trPr>
          <w:trHeight w:val="45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556879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556879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556879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</w:t>
            </w:r>
          </w:p>
        </w:tc>
      </w:tr>
      <w:tr>
        <w:trPr>
          <w:trHeight w:val="94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</w:t>
            </w:r>
          </w:p>
        </w:tc>
      </w:tr>
      <w:tr>
        <w:trPr>
          <w:trHeight w:val="15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169693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169693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15241</w:t>
            </w:r>
          </w:p>
        </w:tc>
      </w:tr>
      <w:tr>
        <w:trPr>
          <w:trHeight w:val="94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15241</w:t>
            </w:r>
          </w:p>
        </w:tc>
      </w:tr>
      <w:tr>
        <w:trPr>
          <w:trHeight w:val="94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154452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154452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</w:t>
            </w:r>
          </w:p>
        </w:tc>
      </w:tr>
      <w:tr>
        <w:trPr>
          <w:trHeight w:val="94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</w:t>
            </w:r>
          </w:p>
        </w:tc>
      </w:tr>
      <w:tr>
        <w:trPr>
          <w:trHeight w:val="94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</w:t>
            </w:r>
          </w:p>
        </w:tc>
      </w:tr>
      <w:tr>
        <w:trPr>
          <w:trHeight w:val="106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32325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32919</w:t>
            </w:r>
          </w:p>
        </w:tc>
      </w:tr>
      <w:tr>
        <w:trPr>
          <w:trHeight w:val="94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32919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32919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32919</w:t>
            </w:r>
          </w:p>
        </w:tc>
      </w:tr>
      <w:tr>
        <w:trPr>
          <w:trHeight w:val="94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"/>
        <w:gridCol w:w="371"/>
        <w:gridCol w:w="327"/>
        <w:gridCol w:w="617"/>
        <w:gridCol w:w="8207"/>
        <w:gridCol w:w="166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31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6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6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250"/>
        <w:gridCol w:w="336"/>
        <w:gridCol w:w="293"/>
        <w:gridCol w:w="8504"/>
        <w:gridCol w:w="1605"/>
      </w:tblGrid>
      <w:tr>
        <w:trPr>
          <w:trHeight w:val="2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-32325</w:t>
            </w:r>
          </w:p>
        </w:tc>
      </w:tr>
      <w:tr>
        <w:trPr>
          <w:trHeight w:val="6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№ 257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октября 2011 года № 72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поселка,</w:t>
      </w:r>
      <w:r>
        <w:br/>
      </w:r>
      <w:r>
        <w:rPr>
          <w:rFonts w:ascii="Times New Roman"/>
          <w:b/>
          <w:i w:val="false"/>
          <w:color w:val="000000"/>
        </w:rPr>
        <w:t>
аула (села), аульного сельского округа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маслихата Денисовского района Костанайской области от 27.10.2011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593"/>
        <w:gridCol w:w="753"/>
        <w:gridCol w:w="833"/>
        <w:gridCol w:w="6513"/>
        <w:gridCol w:w="23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Денисовка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13312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13312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13312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аулах(селах), аульных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13312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Некрасовский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Тельманский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6498,9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90,9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Аршалинский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Аятский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Зааятский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Комаровский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Крымский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Красноармейский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Тобольский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Перелески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№ 257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бюджета района на 2011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345"/>
        <w:gridCol w:w="787"/>
        <w:gridCol w:w="765"/>
        <w:gridCol w:w="917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04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образование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4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