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d1df" w14:textId="a3fd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Житикаринского района на 2011-2013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22 декабря 2010 года № 307. Зарегистрировано Управлением юстиции Житикаринского района Костанайской области 28 декабря 2010 года № 9-10-153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Рассмотрев постановление акимата Житикаринского района,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2 805 468,8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1 094 952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5 776,6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8 893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1 695 847,2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2 748 995,5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3) чистое бюджетное кредитование – 8 664,4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9 792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1127,6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68139,0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68139,0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-20 330,1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20 330,1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Житикаринского района Костанайской области от 01.11.2011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 от 11.11.2011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субвенции, передаваемой из областного бюджета бюджету района на 2011 год, установлен в сумме 1168285,0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района в областной бюджет составляет 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2011 год предусмотрены целевые текущие трансферты и трансферты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2 208,0 тысяч тенге – на укрепление материально-технической базы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50000,0 тысяч тенге – на реконструкцию улиц микрорайона "Желтоксан", в границах от улицы Жибек-Жолы и до въезда в садоводческое общество "Строитель" (въезд в микрорайон) и трех улиц микрорайона "Желтоксан" города Житикары;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25000,0 тысяч тенге – на реконструкцию обводного водосбросного канала плотины Желкуарского водохранилища;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11899,0 тысяч тенге – на укрепление материально-технической базы государственного коммунального предприятия "Житикаракоммунэнерго" государственного учреждения "Отдел жилищно-коммунального хозяйства, пассажирского транспорта и автомобильных дорог Житикаринского района" акимата Житикаринского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1058,0 тысяч тенге - на приобретение компьютерной и организационной техники для внедрения системы "Казначейство-Клиент.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15866,0 тысяч тенге – на строительство водовода от водоочистного сооружения - 2 до водоочистного сооружения-1 в городе Житикаре.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2 923,0 тысячи тенге – на строительство водовода из Шортандинского месторождения подземных вод для водоснабжения районного центра Житикаринского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маслихата Житикаринского района Костанайской области от 22.01.2011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19.04.2011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22.07.2011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01.11.2011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Учесть, что в районном бюджете на 2011 год предусмотрены целевые текущие трансферты и трансферты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8 519,4 тысячи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1 711 тысяч тенге –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12 402,0 тысячи тенге – на реализацию государственного общеобразовательного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12 288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5 316,6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2 706,0 тысяч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16 186 тысяч тенге – на развитие сети отделений дневного пребывания в медико-социальных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21 637 тысяч тенге – на ежемесячные выплаты денежных средств опекунам (попечителям) на содержание ребенка-сироты (детей-сирот),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3 120,0 тысяч тенге – на поддержку частного предпринимательства в рамках программы "Дорожная карта бизнеса - 2020";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69761,2 тысяч тенге – на строительство газораспределительных сетей в микрорайоне "Желтоксан" в городе Житикаре;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154597,0 тысяч тенге – на строительство водовода от водоочистного сооружения - 2 до водоочистного сооружения - 1 в городе Житикаре;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90 000,0 тысяч тенге – на строительство водовода из Шортандинского месторождения подземных вод для водоснабжения районного центра Житикаринского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13) 11917,0 тысяч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14) 6 323 тысячи тенге – на создание центра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2124,0 тысячи тенге – на частичное субсидирование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Житикаринского района Костанайской области от 22.01.2011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 от 19.04.2011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22.07.2011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01.11.2011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11.11.2011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4-2. Учесть, что в районном бюджете на 2011 год предусмотрено поступление из республиканского бюджета бюджетного кредита для реализации мер социальной поддержки специалистов социальной сферы сельских населенных пунктов в сумме 9 792,0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маслихата Житикаринского района Костанайской области от 22.01.2011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4-3. Учесть, что в районном бюджете на 2011 год предусмотрен возврат целевых трансфертов в сумме 7 507,9 тысяч тенге, в том числе возврат в республиканский бюджет – 7 507,5 тысяч тенге, в областной бюджет - 0,4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4-3 в соответствии с решением маслихата Житикаринского района Костанайской области от 22.01.2011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11.11.2011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4-4. Учесть, что в районном бюджете на 2011 год предусмотрены возврат неиспользованных бюджетных кредитов, выданных из областного бюджета в сумме 16886,7 тысяч тенге и обслуживание долга местных исполнительных органов по выплате вознаграждений и иных платежей по займам из областного бюджета в сумме 0,4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4-4 в соответствии с решением маслихата Житикаринского района Костанайской области от 22.01.2011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в редакции от 01.11.2011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4-5. Учесть, что в районном бюджете на 2011 год предусмотрен целевой текущий трансферт в областной бюджет на компенсацию потерь в связи с передачей функций государственных органов из нижестоящего уровня государственного управления в вышестоящий в сумме 925,0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4-5 в соответствии с решением маслихата Житикаринского района Костанайской области от 22.07.2011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Житикаринского района на 2011 год в сумме 3435,5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решения маслихата Житикаринского района Костанайской области от 01.11.2011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программ, не подлежащих секвестру в процессе исполнения районного бюджета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бюджетные программы аппаратов акимов аулов, сел, сельских округов Житикаринского района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четырнадцатой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З. Наурзалинова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Г. Жидебаева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307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ноября 2011 года № 398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Житикаринского района Костанайской области от 11.11.2011 </w:t>
      </w:r>
      <w:r>
        <w:rPr>
          <w:rFonts w:ascii="Times New Roman"/>
          <w:b w:val="false"/>
          <w:i w:val="false"/>
          <w:color w:val="ff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421"/>
        <w:gridCol w:w="271"/>
        <w:gridCol w:w="308"/>
        <w:gridCol w:w="8093"/>
        <w:gridCol w:w="213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2805468,8</w:t>
            </w:r>
          </w:p>
        </w:tc>
      </w:tr>
      <w:tr>
        <w:trPr>
          <w:trHeight w:val="30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1094952</w:t>
            </w:r>
          </w:p>
        </w:tc>
      </w:tr>
      <w:tr>
        <w:trPr>
          <w:trHeight w:val="28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477722</w:t>
            </w:r>
          </w:p>
        </w:tc>
      </w:tr>
      <w:tr>
        <w:trPr>
          <w:trHeight w:val="28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477722</w:t>
            </w:r>
          </w:p>
        </w:tc>
      </w:tr>
      <w:tr>
        <w:trPr>
          <w:trHeight w:val="27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387894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387894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180676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111541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53497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31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41328</w:t>
            </w:r>
          </w:p>
        </w:tc>
      </w:tr>
      <w:tr>
        <w:trPr>
          <w:trHeight w:val="25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40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</w:t>
            </w:r>
          </w:p>
        </w:tc>
      </w:tr>
      <w:tr>
        <w:trPr>
          <w:trHeight w:val="54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</w:t>
            </w:r>
          </w:p>
        </w:tc>
      </w:tr>
      <w:tr>
        <w:trPr>
          <w:trHeight w:val="31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112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</w:p>
        </w:tc>
      </w:tr>
      <w:tr>
        <w:trPr>
          <w:trHeight w:val="9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</w:p>
        </w:tc>
      </w:tr>
      <w:tr>
        <w:trPr>
          <w:trHeight w:val="3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5776,6</w:t>
            </w:r>
          </w:p>
        </w:tc>
      </w:tr>
      <w:tr>
        <w:trPr>
          <w:trHeight w:val="3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28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3861,6</w:t>
            </w:r>
          </w:p>
        </w:tc>
      </w:tr>
      <w:tr>
        <w:trPr>
          <w:trHeight w:val="31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3861,6</w:t>
            </w:r>
          </w:p>
        </w:tc>
      </w:tr>
      <w:tr>
        <w:trPr>
          <w:trHeight w:val="28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</w:p>
        </w:tc>
      </w:tr>
      <w:tr>
        <w:trPr>
          <w:trHeight w:val="28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</w:p>
        </w:tc>
      </w:tr>
      <w:tr>
        <w:trPr>
          <w:trHeight w:val="7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</w:t>
            </w:r>
          </w:p>
        </w:tc>
      </w:tr>
      <w:tr>
        <w:trPr>
          <w:trHeight w:val="27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28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1695847,2</w:t>
            </w:r>
          </w:p>
        </w:tc>
      </w:tr>
      <w:tr>
        <w:trPr>
          <w:trHeight w:val="31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1695847,2</w:t>
            </w:r>
          </w:p>
        </w:tc>
      </w:tr>
      <w:tr>
        <w:trPr>
          <w:trHeight w:val="33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1695847,2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658"/>
        <w:gridCol w:w="917"/>
        <w:gridCol w:w="917"/>
        <w:gridCol w:w="6056"/>
        <w:gridCol w:w="227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2748995,5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192232,3</w:t>
            </w:r>
          </w:p>
        </w:tc>
      </w:tr>
      <w:tr>
        <w:trPr>
          <w:trHeight w:val="5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164387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13736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62240,3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58646,8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3593,5</w:t>
            </w:r>
          </w:p>
        </w:tc>
      </w:tr>
      <w:tr>
        <w:trPr>
          <w:trHeight w:val="5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88300,7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85842,7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16426</w:t>
            </w:r>
          </w:p>
        </w:tc>
      </w:tr>
      <w:tr>
        <w:trPr>
          <w:trHeight w:val="9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13858,5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104,5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деятельность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11419,3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11419,3</w:t>
            </w:r>
          </w:p>
        </w:tc>
      </w:tr>
      <w:tr>
        <w:trPr>
          <w:trHeight w:val="9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11309,3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5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1554073,6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45991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45991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34074</w:t>
            </w:r>
          </w:p>
        </w:tc>
      </w:tr>
      <w:tr>
        <w:trPr>
          <w:trHeight w:val="4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11917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1452441,1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1452441,1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1416961,1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35480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55641,5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55641,5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</w:p>
        </w:tc>
      </w:tr>
      <w:tr>
        <w:trPr>
          <w:trHeight w:val="7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15043</w:t>
            </w:r>
          </w:p>
        </w:tc>
      </w:tr>
      <w:tr>
        <w:trPr>
          <w:trHeight w:val="9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748,5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296469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270517</w:t>
            </w:r>
          </w:p>
        </w:tc>
      </w:tr>
      <w:tr>
        <w:trPr>
          <w:trHeight w:val="4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270517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32495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129830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</w:t>
            </w:r>
          </w:p>
        </w:tc>
      </w:tr>
      <w:tr>
        <w:trPr>
          <w:trHeight w:val="4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25390</w:t>
            </w:r>
          </w:p>
        </w:tc>
      </w:tr>
      <w:tr>
        <w:trPr>
          <w:trHeight w:val="10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25952</w:t>
            </w:r>
          </w:p>
        </w:tc>
      </w:tr>
      <w:tr>
        <w:trPr>
          <w:trHeight w:val="4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25952</w:t>
            </w:r>
          </w:p>
        </w:tc>
      </w:tr>
      <w:tr>
        <w:trPr>
          <w:trHeight w:val="7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25073</w:t>
            </w:r>
          </w:p>
        </w:tc>
      </w:tr>
      <w:tr>
        <w:trPr>
          <w:trHeight w:val="5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289125,9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79185,5</w:t>
            </w:r>
          </w:p>
        </w:tc>
      </w:tr>
      <w:tr>
        <w:trPr>
          <w:trHeight w:val="5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75815,5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69836,5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170463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170463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170463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39477,4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34490,4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8101,4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82943,8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32419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 работы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7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21313,5</w:t>
            </w:r>
          </w:p>
        </w:tc>
      </w:tr>
      <w:tr>
        <w:trPr>
          <w:trHeight w:val="4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4075,5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газеты и журналы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3433,5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телерадиовещание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20600,3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5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9190,4</w:t>
            </w:r>
          </w:p>
        </w:tc>
      </w:tr>
      <w:tr>
        <w:trPr>
          <w:trHeight w:val="7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8590,4</w:t>
            </w:r>
          </w:p>
        </w:tc>
      </w:tr>
      <w:tr>
        <w:trPr>
          <w:trHeight w:val="3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6034,9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5924,9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7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154303,4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19068</w:t>
            </w:r>
          </w:p>
        </w:tc>
      </w:tr>
      <w:tr>
        <w:trPr>
          <w:trHeight w:val="5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19068</w:t>
            </w:r>
          </w:p>
        </w:tc>
      </w:tr>
      <w:tr>
        <w:trPr>
          <w:trHeight w:val="5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16647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117923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117923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117923</w:t>
            </w:r>
          </w:p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</w:p>
        </w:tc>
      </w:tr>
      <w:tr>
        <w:trPr>
          <w:trHeight w:val="8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8519,4</w:t>
            </w:r>
          </w:p>
        </w:tc>
      </w:tr>
      <w:tr>
        <w:trPr>
          <w:trHeight w:val="5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8519,4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8519,4</w:t>
            </w:r>
          </w:p>
        </w:tc>
      </w:tr>
      <w:tr>
        <w:trPr>
          <w:trHeight w:val="5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16562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16562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</w:p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5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121867,2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121867,2</w:t>
            </w:r>
          </w:p>
        </w:tc>
      </w:tr>
      <w:tr>
        <w:trPr>
          <w:trHeight w:val="5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121867,2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71867,2</w:t>
            </w:r>
          </w:p>
        </w:tc>
      </w:tr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27308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</w:p>
        </w:tc>
      </w:tr>
      <w:tr>
        <w:trPr>
          <w:trHeight w:val="30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20103</w:t>
            </w:r>
          </w:p>
        </w:tc>
      </w:tr>
      <w:tr>
        <w:trPr>
          <w:trHeight w:val="4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8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3435,5</w:t>
            </w:r>
          </w:p>
        </w:tc>
      </w:tr>
      <w:tr>
        <w:trPr>
          <w:trHeight w:val="49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3435,5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13547,5</w:t>
            </w:r>
          </w:p>
        </w:tc>
      </w:tr>
      <w:tr>
        <w:trPr>
          <w:trHeight w:val="7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106,5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5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8432,9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8432,9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8432,9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7507,9</w:t>
            </w:r>
          </w:p>
        </w:tc>
      </w:tr>
      <w:tr>
        <w:trPr>
          <w:trHeight w:val="7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8664,4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7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51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52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68139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-20330,1</w:t>
            </w:r>
          </w:p>
        </w:tc>
      </w:tr>
      <w:tr>
        <w:trPr>
          <w:trHeight w:val="25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20330,1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307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Житикаринского района Костанайской области от 22.01.2011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33"/>
        <w:gridCol w:w="793"/>
        <w:gridCol w:w="833"/>
        <w:gridCol w:w="6773"/>
        <w:gridCol w:w="20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2609739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1239548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484136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484136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552934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552934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1358813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1358813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1358813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2563702,0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213787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181107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94575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20038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</w:t>
            </w:r>
          </w:p>
        </w:tc>
      </w:tr>
      <w:tr>
        <w:trPr>
          <w:trHeight w:val="10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1395880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1326416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1326416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1286531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17491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316196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290069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290069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40342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26127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35519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30475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20043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327262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17586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99135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14620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9 157,4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46037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-9157,4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307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Житикаринского района Костанайской области от 22.01.2011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53"/>
        <w:gridCol w:w="833"/>
        <w:gridCol w:w="833"/>
        <w:gridCol w:w="6773"/>
        <w:gridCol w:w="19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2576842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502411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502411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1144780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1144780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1144780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2491658,0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217554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184222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94045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20509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1409901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1338536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1338536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1298374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17731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335056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308533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308533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176406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43166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26523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25492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43437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327763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10 158,4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-10158,4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307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3"/>
      </w:tblGrid>
      <w:tr>
        <w:trPr>
          <w:trHeight w:val="3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7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307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ноября 2011 года № 385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(подпрограммы) аппаратов аулов,</w:t>
      </w:r>
      <w:r>
        <w:br/>
      </w:r>
      <w:r>
        <w:rPr>
          <w:rFonts w:ascii="Times New Roman"/>
          <w:b/>
          <w:i w:val="false"/>
          <w:color w:val="000000"/>
        </w:rPr>
        <w:t>
сел, сельских округов Житикаринского района на</w:t>
      </w:r>
      <w:r>
        <w:br/>
      </w:r>
      <w:r>
        <w:rPr>
          <w:rFonts w:ascii="Times New Roman"/>
          <w:b/>
          <w:i w:val="false"/>
          <w:color w:val="000000"/>
        </w:rPr>
        <w:t>
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Житикаринского района Костанайской области от 01.11.2011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13"/>
        <w:gridCol w:w="653"/>
        <w:gridCol w:w="713"/>
        <w:gridCol w:w="7293"/>
        <w:gridCol w:w="20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Большевистский сельский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Волгоградское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Аккарга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Приречное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Милютинка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Муктикольский сельский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Тохтаровский сельский округ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аул Чайковское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Шевченковка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5563,7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5563,7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5563,7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5388,7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аул Пригородное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Тимирязево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Забеловка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Степное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</w:tr>
      <w:tr>
        <w:trPr>
          <w:trHeight w:val="8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Ырсай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