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587" w14:textId="6296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19 февраля 2010 года № 13 "Об организации оплачиваемых общественных работ в Узункольском районе на 2010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апреля 2010 года № 142. Зарегистрировано Управлением юстиции Узункольского района Костанайской области 7 мая 2010 года № 9-19-129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Узункольском районе на 2010 год" от 19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9-19-124, опубликовано в газете "Нұрлы жол" 1 апреля 2010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 столбце "Объем работ" цифры "19050" заменить на цифры "134112".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