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8d2ad" w14:textId="868d2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кандидатов в депутаты Качирского районного маслихата по Коммунарскому избирательному округу N 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31 августа 2010 года N 240/6. Зарегистрировано Управлением юстиции Качирского района Павлодарской области 23 августа 2010 года N 12-8-92. Утратило силу постановлением акимата Качирского района Павлодарской области от 06 января 2011 года N 28/1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Качирского района Павлодарской области от 06.01.2011 N 28/1.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по согласованию с районной избирательной комиссией перечень мест для размещения агитационных печатных материалов кандидатов в депутаты Качирского районного маслихата по Коммунарскому избирательному округу N 11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принять меры по оснащению мест для размещения агитационных печатных материалов кандидатов в депутаты Качирского районного маслихата стендами, щитами и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данного постановления возложить на руководителя аппарата акима района Фишер Т.В.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Бакауов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Качирской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31 августа 2010 года                       Т. Садыбеков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августа 2010 года N 240/6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мест для размещения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агитационных печатных материалов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кандидатов в депутаты Качирского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по Коммунарскому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избирательному округу N 11"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</w:t>
      </w:r>
      <w:r>
        <w:br/>
      </w:r>
      <w:r>
        <w:rPr>
          <w:rFonts w:ascii="Times New Roman"/>
          <w:b/>
          <w:i w:val="false"/>
          <w:color w:val="000000"/>
        </w:rPr>
        <w:t>
материалов кандидатов в депутаты Качирского районного</w:t>
      </w:r>
      <w:r>
        <w:br/>
      </w:r>
      <w:r>
        <w:rPr>
          <w:rFonts w:ascii="Times New Roman"/>
          <w:b/>
          <w:i w:val="false"/>
          <w:color w:val="000000"/>
        </w:rPr>
        <w:t>
маслихата по Коммунарскому избирательному округу N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постановлением акимата Качирского района Павлодарской области от 29.09.2010 </w:t>
      </w:r>
      <w:r>
        <w:rPr>
          <w:rFonts w:ascii="Times New Roman"/>
          <w:b w:val="false"/>
          <w:i w:val="false"/>
          <w:color w:val="ff0000"/>
          <w:sz w:val="28"/>
        </w:rPr>
        <w:t>N 266/6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5005"/>
        <w:gridCol w:w="6621"/>
      </w:tblGrid>
      <w:tr>
        <w:trPr>
          <w:trHeight w:val="51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участок, село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размещения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305, село Фрументьевка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Дома культуры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306, село Воскресенка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медицинского пункта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303, село Львовка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Львовской средней общеобразовательной школы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304, село Тимофеевка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  здания бывшей Тимофеевской начальной школы 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272, село Тлеубай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медицинского пункта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