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b82a" w14:textId="f83b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граждан в сфере занятости населения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24 декабря 2010 года N 320/12. Зарегистрировано Управлением юстиции Лебяжинского района Павлодарской области 30 декабря 2010 года N 12-9-125. Утратило силу в связи с истечением срока действия (письмо руководителя аппарата акима Лебяжинского района Павлодарской области от 06 марта 2014 года N 31/1-36/89)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Лебяжинского района Павлодарской области от 06.03.2014 N 31/1-36/89).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 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в целях социальной защиты и содействия занятости безработных из социально-незащищенных категорий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перечень лиц, входящих в состав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имеющие ограничения в труде по справкам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из малообеспеченных семей, не имеющие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порядок отбора работодателей, предлагающих организацию социальных рабочих мест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организовать работу с учреждениями и организациями по созданию 70 социальных рабочих мест для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финансов обеспечить своевременное финансирование социальных рабочих мест из районного бюджета в пределах утвержденных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320/12 от 24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работодателей, предлагающих</w:t>
      </w:r>
      <w:r>
        <w:br/>
      </w:r>
      <w:r>
        <w:rPr>
          <w:rFonts w:ascii="Times New Roman"/>
          <w:b/>
          <w:i w:val="false"/>
          <w:color w:val="000000"/>
        </w:rPr>
        <w:t>
организацию социальных рабочих мест для трудоустройства безработных из целевых групп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 платежеспособность предприятия, своевременность выплаты заработной платы, соответствие рабочего места нормам техники безопасности,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 Срок занятости безработных на социальных рабочих местах допускается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из средств районного бюджета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