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6dd7" w14:textId="3a56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(16 сессия, 4 созыв) от 25 декабря 2009 года N 16/143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16 июля 2010 года N 20/186. Зарегистрировано Управлением юстиции Павлодарского района Павлодаркой области 21 июля 2010 года N 12-11-127. Утратило силу в связи с истечением срока действия (письмо маслихата Павлодарского района  Павлодарской области от 14 февраля 2011 года N 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Павлодарского района Павлодарской области от 14.02.2011 N 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(16 сессия, 4 созыв)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16/143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2010-2012 годы" (зарегистрированное в Реестре государственной регистрации нормативных правовых актов N 12-11-118, опубликовано в газете "Заман тынысы" от 8 января 2010 года N 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2010-2012 годы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1 969 439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1 671 654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1 967 491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44 685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Темиргалиев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(20 сессия, 4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N 20/186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90"/>
        <w:gridCol w:w="690"/>
        <w:gridCol w:w="7442"/>
        <w:gridCol w:w="312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1 969 439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287 253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107 129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107 129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77 803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77 803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96 514</w:t>
            </w:r>
          </w:p>
        </w:tc>
      </w:tr>
      <w:tr>
        <w:trPr>
          <w:trHeight w:val="4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66 792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4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70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14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</w:t>
            </w:r>
          </w:p>
        </w:tc>
      </w:tr>
      <w:tr>
        <w:trPr>
          <w:trHeight w:val="4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73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</w:t>
            </w:r>
          </w:p>
        </w:tc>
      </w:tr>
      <w:tr>
        <w:trPr>
          <w:trHeight w:val="36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1 671 654</w:t>
            </w:r>
          </w:p>
        </w:tc>
      </w:tr>
      <w:tr>
        <w:trPr>
          <w:trHeight w:val="7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1 671 654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1 671 654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01"/>
        <w:gridCol w:w="618"/>
        <w:gridCol w:w="659"/>
        <w:gridCol w:w="6923"/>
        <w:gridCol w:w="31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1 967 491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195 174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175 400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45 487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45 487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119 401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14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13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12 852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5 898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3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1 181 213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83 547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1 003 404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991 979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985 534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94 262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38 349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10 503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92 049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83 413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42 083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17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25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68 676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50 747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2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17 929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</w:t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147 113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109 790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13 349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96 441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15 248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</w:p>
        </w:tc>
      </w:tr>
      <w:tr>
        <w:trPr>
          <w:trHeight w:val="13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7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</w:p>
        </w:tc>
      </w:tr>
      <w:tr>
        <w:trPr>
          <w:trHeight w:val="12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14 418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57 055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46 234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</w:t>
            </w:r>
          </w:p>
        </w:tc>
      </w:tr>
      <w:tr>
        <w:trPr>
          <w:trHeight w:val="12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6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10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13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101 548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9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101 226</w:t>
            </w:r>
          </w:p>
        </w:tc>
      </w:tr>
      <w:tr>
        <w:trPr>
          <w:trHeight w:val="3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-44 685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(20 сессия, 4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N 20/186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текущих бюджетных программ </w:t>
      </w:r>
      <w:r>
        <w:br/>
      </w:r>
      <w:r>
        <w:rPr>
          <w:rFonts w:ascii="Times New Roman"/>
          <w:b/>
          <w:i w:val="false"/>
          <w:color w:val="000000"/>
        </w:rPr>
        <w:t>
в разрезе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26"/>
        <w:gridCol w:w="626"/>
        <w:gridCol w:w="1026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Пресное
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