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3fd6" w14:textId="a263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XXIV-й сессии маслихата города Алматы III-го созыва от 26 сентября 2006 года N 268 "Об утверждении Правил застройки территории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XXVII сессии маслихата города Алматы IV созыва от 12 апреля 2010 года N 319. Зарегистрировано в Департаменте юстиции города Алматы 18 мая 2010 года за N 846. Утратило силу решением Маслихата города Алматы от 17 марта 2015 года № 319</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Действие решения приостановлено до 01.01.2015 г. в соответствии с решением маслихата города Алматы от 24.04.2014 № 223.</w:t>
      </w:r>
      <w:r>
        <w:br/>
      </w:r>
      <w:r>
        <w:rPr>
          <w:rFonts w:ascii="Times New Roman"/>
          <w:b w:val="false"/>
          <w:i w:val="false"/>
          <w:color w:val="ff0000"/>
          <w:sz w:val="28"/>
        </w:rPr>
        <w:t>
      Утратило силу решением Маслихата города Алматы от 17.03.2015 № 319.</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39</w:t>
      </w:r>
      <w:r>
        <w:rPr>
          <w:rFonts w:ascii="Times New Roman"/>
          <w:b w:val="false"/>
          <w:i w:val="false"/>
          <w:color w:val="000000"/>
          <w:sz w:val="28"/>
        </w:rPr>
        <w:t> Конституции Республики Казахстан от 30 августа 1995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постановлениями Правительства Республики Казахстан от 06 мая 2008 года № 425 </w:t>
      </w:r>
      <w:r>
        <w:rPr>
          <w:rFonts w:ascii="Times New Roman"/>
          <w:b w:val="false"/>
          <w:i w:val="false"/>
          <w:color w:val="000000"/>
          <w:sz w:val="28"/>
        </w:rPr>
        <w:t>«О некоторых мерах по упрощению порядка оформления и выдачи исходных материалов (данных) и разрешительных документов для строительства объектов»</w:t>
      </w:r>
      <w:r>
        <w:rPr>
          <w:rFonts w:ascii="Times New Roman"/>
          <w:b w:val="false"/>
          <w:i w:val="false"/>
          <w:color w:val="000000"/>
          <w:sz w:val="28"/>
        </w:rPr>
        <w:t xml:space="preserve"> и от 29 сентября 2009 года № 1467 </w:t>
      </w:r>
      <w:r>
        <w:rPr>
          <w:rFonts w:ascii="Times New Roman"/>
          <w:b w:val="false"/>
          <w:i w:val="false"/>
          <w:color w:val="000000"/>
          <w:sz w:val="28"/>
        </w:rPr>
        <w:t>«О внесении изменений и дополнений в постановление Правительства Республики Казахстан от 6 мая 2008 года № 425»</w:t>
      </w:r>
      <w:r>
        <w:rPr>
          <w:rFonts w:ascii="Times New Roman"/>
          <w:b w:val="false"/>
          <w:i w:val="false"/>
          <w:color w:val="000000"/>
          <w:sz w:val="28"/>
        </w:rPr>
        <w:t xml:space="preserve">, маслихат города Алматы IV-го созыва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XXIV-й сессии маслихата города Алматы III-го созыва от 26 сентября 2006 года № 268 «Об утверждении Правил застройки территории города Алматы» (зарегистрировано в Реестре государственной регистрации нормативных правовых актов за № 716 от 2 ноября 2006 года, опубликовано в газетах «Алматы Ақшамы» 18 ноября 2006 года № 134 и от 30 ноября 2006 года «Вечерний Алматы»), внесены изменения: </w:t>
      </w:r>
      <w:r>
        <w:rPr>
          <w:rFonts w:ascii="Times New Roman"/>
          <w:b w:val="false"/>
          <w:i w:val="false"/>
          <w:color w:val="000000"/>
          <w:sz w:val="28"/>
        </w:rPr>
        <w:t>решением</w:t>
      </w:r>
      <w:r>
        <w:rPr>
          <w:rFonts w:ascii="Times New Roman"/>
          <w:b w:val="false"/>
          <w:i w:val="false"/>
          <w:color w:val="000000"/>
          <w:sz w:val="28"/>
        </w:rPr>
        <w:t xml:space="preserve"> II-й сессии маслихата города Алматы IV-го созыва от 10 сентября 2007 года № 09 «О внесении изменений и дополнений в решение XXIV-й сессии маслихата города Алматы III-го созыва от 26 сентября 2006 года N 268 "Об утверждении Правил застройки территории города Алматы», зарегистрировано в Реестре государственной регистрации нормативных правовых актов № 756 от 12 октября 2007 года, опубликовано в газетах от 17 ноября 2007 года «Алматы Ақшамы» № 139, от 15 ноября 2007 года «Вечерний Алматы № 286-289) следующие изменения:</w:t>
      </w:r>
      <w:r>
        <w:br/>
      </w:r>
      <w:r>
        <w:rPr>
          <w:rFonts w:ascii="Times New Roman"/>
          <w:b w:val="false"/>
          <w:i w:val="false"/>
          <w:color w:val="000000"/>
          <w:sz w:val="28"/>
        </w:rPr>
        <w:t>
      в Правилах застройки территории города Алматы (далее по тексту Правила),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слово «запрещается» заменить словом «не допускается»;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w:t>
      </w:r>
      <w:r>
        <w:rPr>
          <w:rFonts w:ascii="Times New Roman"/>
          <w:b w:val="false"/>
          <w:i w:val="false"/>
          <w:color w:val="000000"/>
          <w:sz w:val="28"/>
        </w:rPr>
        <w:t xml:space="preserve"> слова «должны соблюдаться», «должны быть обеспечены» заменить соответственно словами «необходимо соблюдать», «обеспечиваются»;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21</w:t>
      </w:r>
      <w:r>
        <w:rPr>
          <w:rFonts w:ascii="Times New Roman"/>
          <w:b w:val="false"/>
          <w:i w:val="false"/>
          <w:color w:val="000000"/>
          <w:sz w:val="28"/>
        </w:rPr>
        <w:t xml:space="preserve"> слова «должно предусматривать» заменить словом «предусматривает»;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 Архитектурно-планировочное задание готовится и выдается органом архитектуры и градостроительства по заявлению застройщика (заказчика) в сроки не более 8 рабочих дней с момента подачи заявления на основании:</w:t>
      </w:r>
      <w:r>
        <w:br/>
      </w:r>
      <w:r>
        <w:rPr>
          <w:rFonts w:ascii="Times New Roman"/>
          <w:b w:val="false"/>
          <w:i w:val="false"/>
          <w:color w:val="000000"/>
          <w:sz w:val="28"/>
        </w:rPr>
        <w:t>
      1) заявления застройщика (заказчика);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копии удостоверения личности, регистрационного номера налогоплательщика (РНН) или индивидуального идентификационного номера (ИИН) – для физических лиц;</w:t>
      </w:r>
      <w:r>
        <w:br/>
      </w:r>
      <w:r>
        <w:rPr>
          <w:rFonts w:ascii="Times New Roman"/>
          <w:b w:val="false"/>
          <w:i w:val="false"/>
          <w:color w:val="000000"/>
          <w:sz w:val="28"/>
        </w:rPr>
        <w:t>
      копии свидетельства о государственной регистрации (перерегистрации) юридического лица, статистической карточки, свидетельства о регистрации в качестве налогоплательщика (РНН) или бизнес-идентификационный номер (БИН),– для юридических лиц;</w:t>
      </w:r>
      <w:r>
        <w:br/>
      </w:r>
      <w:r>
        <w:rPr>
          <w:rFonts w:ascii="Times New Roman"/>
          <w:b w:val="false"/>
          <w:i w:val="false"/>
          <w:color w:val="000000"/>
          <w:sz w:val="28"/>
        </w:rPr>
        <w:t>
      2) правоустанавливающих и идентификационных документов на земельный участок и недвижимое имущество (решения или постановления местных исполнительных органов, акт на право собственности (временного возмездного землепользования) на земельный участок, договор купли-продажи, технический паспорт и др.);</w:t>
      </w:r>
      <w:r>
        <w:br/>
      </w:r>
      <w:r>
        <w:rPr>
          <w:rFonts w:ascii="Times New Roman"/>
          <w:b w:val="false"/>
          <w:i w:val="false"/>
          <w:color w:val="000000"/>
          <w:sz w:val="28"/>
        </w:rPr>
        <w:t>
      3) задания на проектирование, утвержденного застройщиком (заказчиком);</w:t>
      </w:r>
      <w:r>
        <w:br/>
      </w:r>
      <w:r>
        <w:rPr>
          <w:rFonts w:ascii="Times New Roman"/>
          <w:b w:val="false"/>
          <w:i w:val="false"/>
          <w:color w:val="000000"/>
          <w:sz w:val="28"/>
        </w:rPr>
        <w:t>
      4) технических условий на подключение объекта к источникам инженерного и коммунального обеспечения;</w:t>
      </w:r>
      <w:r>
        <w:br/>
      </w:r>
      <w:r>
        <w:rPr>
          <w:rFonts w:ascii="Times New Roman"/>
          <w:b w:val="false"/>
          <w:i w:val="false"/>
          <w:color w:val="000000"/>
          <w:sz w:val="28"/>
        </w:rPr>
        <w:t>
      5) топографической съемки масштаба 1:500.»;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«41. Архитектурно-планировочное задание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65</w:t>
      </w:r>
      <w:r>
        <w:rPr>
          <w:rFonts w:ascii="Times New Roman"/>
          <w:b w:val="false"/>
          <w:i w:val="false"/>
          <w:color w:val="000000"/>
          <w:sz w:val="28"/>
        </w:rPr>
        <w:t xml:space="preserve"> слова «должен получить» заменить словом «получает»;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 Разрешение на строительство в целом или на определенный этап выдается органом госархстройконтроля на основании следующих документов, представляемых застройщиками (заказчиками):</w:t>
      </w:r>
      <w:r>
        <w:br/>
      </w:r>
      <w:r>
        <w:rPr>
          <w:rFonts w:ascii="Times New Roman"/>
          <w:b w:val="false"/>
          <w:i w:val="false"/>
          <w:color w:val="000000"/>
          <w:sz w:val="28"/>
        </w:rPr>
        <w:t>
      1) заявление по установленной форме;</w:t>
      </w:r>
      <w:r>
        <w:br/>
      </w:r>
      <w:r>
        <w:rPr>
          <w:rFonts w:ascii="Times New Roman"/>
          <w:b w:val="false"/>
          <w:i w:val="false"/>
          <w:color w:val="000000"/>
          <w:sz w:val="28"/>
        </w:rPr>
        <w:t>
      2) решение местных исполнительных органов города Алматы о предоставлении земельного участка для строительства;</w:t>
      </w:r>
      <w:r>
        <w:br/>
      </w:r>
      <w:r>
        <w:rPr>
          <w:rFonts w:ascii="Times New Roman"/>
          <w:b w:val="false"/>
          <w:i w:val="false"/>
          <w:color w:val="000000"/>
          <w:sz w:val="28"/>
        </w:rPr>
        <w:t>
      3) утвержденная в установленном порядке проектно-сметная документация с положительным заключением экспертизы;</w:t>
      </w:r>
      <w:r>
        <w:br/>
      </w:r>
      <w:r>
        <w:rPr>
          <w:rFonts w:ascii="Times New Roman"/>
          <w:b w:val="false"/>
          <w:i w:val="false"/>
          <w:color w:val="000000"/>
          <w:sz w:val="28"/>
        </w:rPr>
        <w:t>
      4) государственная лицензия с перечнем видов строительно-монтажных работ на право осуществления архитектурной, градостроительной и строительной деятельности генерального подрядчика;</w:t>
      </w:r>
      <w:r>
        <w:br/>
      </w:r>
      <w:r>
        <w:rPr>
          <w:rFonts w:ascii="Times New Roman"/>
          <w:b w:val="false"/>
          <w:i w:val="false"/>
          <w:color w:val="000000"/>
          <w:sz w:val="28"/>
        </w:rPr>
        <w:t>
      5) подписка ответственного лица за строительством от генерального подрядчика и заказчика в установленной форме;</w:t>
      </w:r>
      <w:r>
        <w:br/>
      </w:r>
      <w:r>
        <w:rPr>
          <w:rFonts w:ascii="Times New Roman"/>
          <w:b w:val="false"/>
          <w:i w:val="false"/>
          <w:color w:val="000000"/>
          <w:sz w:val="28"/>
        </w:rPr>
        <w:t>
      6) наличие действующих удостоверений по курсу «Сейсмостойкое строительство» и «Геодезия в строительстве» (при необходимости).»;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71</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«71. Срок рассмотрения заявлений о выдаче разрешения на строительство составляет не более семи рабочих дней, после чего органом госархстройконтроля выдается разрешение на строительство или мотивированный отказ в выдаче разрешения.»;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72</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«72. Разрешение на строительство действует в течение всего срока нормативной продолжительности строительства, утвержденной в составе проектной (проектно-сметной) документации. Если объект не был завершен в течение срока нормативной продолжительности, то для продолжения строительства заказчик (застройщик) обязан получить новое разрешение. Действие разрешения на строительство также ограничивается сроком действия лицензии заказчика или подрядчика (при подрядном способе строительства) на производство строительно-монтажных работ.».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112</w:t>
      </w:r>
      <w:r>
        <w:rPr>
          <w:rFonts w:ascii="Times New Roman"/>
          <w:b w:val="false"/>
          <w:i w:val="false"/>
          <w:color w:val="000000"/>
          <w:sz w:val="28"/>
        </w:rPr>
        <w:t xml:space="preserve"> слово «Запрещается» заменить словами «Не допускается»;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119</w:t>
      </w:r>
      <w:r>
        <w:rPr>
          <w:rFonts w:ascii="Times New Roman"/>
          <w:b w:val="false"/>
          <w:i w:val="false"/>
          <w:color w:val="000000"/>
          <w:sz w:val="28"/>
        </w:rPr>
        <w:t xml:space="preserve"> слова «должно» и «запрещается» заменить словами «осуществляется» и «не допускается»;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120</w:t>
      </w:r>
      <w:r>
        <w:rPr>
          <w:rFonts w:ascii="Times New Roman"/>
          <w:b w:val="false"/>
          <w:i w:val="false"/>
          <w:color w:val="000000"/>
          <w:sz w:val="28"/>
        </w:rPr>
        <w:t xml:space="preserve"> слово «запрещается» заменить словами «не допускается»;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126</w:t>
      </w:r>
      <w:r>
        <w:rPr>
          <w:rFonts w:ascii="Times New Roman"/>
          <w:b w:val="false"/>
          <w:i w:val="false"/>
          <w:color w:val="000000"/>
          <w:sz w:val="28"/>
        </w:rPr>
        <w:t xml:space="preserve"> слово «Запрещается» заменить словами «Не допускается»;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128</w:t>
      </w:r>
      <w:r>
        <w:rPr>
          <w:rFonts w:ascii="Times New Roman"/>
          <w:b w:val="false"/>
          <w:i w:val="false"/>
          <w:color w:val="000000"/>
          <w:sz w:val="28"/>
        </w:rPr>
        <w:t xml:space="preserve"> слова «должно производиться» заменить словом «производится»;</w:t>
      </w:r>
      <w:r>
        <w:br/>
      </w:r>
      <w:r>
        <w:rPr>
          <w:rFonts w:ascii="Times New Roman"/>
          <w:b w:val="false"/>
          <w:i w:val="false"/>
          <w:color w:val="000000"/>
          <w:sz w:val="28"/>
        </w:rPr>
        <w:t>
</w:t>
      </w:r>
      <w:r>
        <w:rPr>
          <w:rFonts w:ascii="Times New Roman"/>
          <w:b w:val="false"/>
          <w:i w:val="false"/>
          <w:color w:val="000000"/>
          <w:sz w:val="28"/>
        </w:rPr>
        <w:t xml:space="preserve">
      в подпункте 3) пункта 128 слова «должен вывозиться» заменить словом «вывозится»; </w:t>
      </w:r>
      <w:r>
        <w:br/>
      </w:r>
      <w:r>
        <w:rPr>
          <w:rFonts w:ascii="Times New Roman"/>
          <w:b w:val="false"/>
          <w:i w:val="false"/>
          <w:color w:val="000000"/>
          <w:sz w:val="28"/>
        </w:rPr>
        <w:t>
</w:t>
      </w:r>
      <w:r>
        <w:rPr>
          <w:rFonts w:ascii="Times New Roman"/>
          <w:b w:val="false"/>
          <w:i w:val="false"/>
          <w:color w:val="000000"/>
          <w:sz w:val="28"/>
        </w:rPr>
        <w:t>
      в подпункте 4) пункта 128 слова «должна производиться» заменить словом «производится»;</w:t>
      </w:r>
      <w:r>
        <w:br/>
      </w:r>
      <w:r>
        <w:rPr>
          <w:rFonts w:ascii="Times New Roman"/>
          <w:b w:val="false"/>
          <w:i w:val="false"/>
          <w:color w:val="000000"/>
          <w:sz w:val="28"/>
        </w:rPr>
        <w:t>
</w:t>
      </w:r>
      <w:r>
        <w:rPr>
          <w:rFonts w:ascii="Times New Roman"/>
          <w:b w:val="false"/>
          <w:i w:val="false"/>
          <w:color w:val="000000"/>
          <w:sz w:val="28"/>
        </w:rPr>
        <w:t>
      в подпункте 6) пункта 128 слово «Запрещается» заменить словами «Не допускается»;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138</w:t>
      </w:r>
      <w:r>
        <w:rPr>
          <w:rFonts w:ascii="Times New Roman"/>
          <w:b w:val="false"/>
          <w:i w:val="false"/>
          <w:color w:val="000000"/>
          <w:sz w:val="28"/>
        </w:rPr>
        <w:t xml:space="preserve"> слова «должна производиться» заменить словом «производится»;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«139. За состояние колодцев, тепловых камер, люков на улицах и внутриквартальных территориях города подлежит ответственности в соответствии с законодательством эксплуатирующая организация либо ведомство, в ведении которого находится данная инженерная сеть.»;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144</w:t>
      </w:r>
      <w:r>
        <w:rPr>
          <w:rFonts w:ascii="Times New Roman"/>
          <w:b w:val="false"/>
          <w:i w:val="false"/>
          <w:color w:val="000000"/>
          <w:sz w:val="28"/>
        </w:rPr>
        <w:t xml:space="preserve"> слова «должна получить» заменить словом «получает»;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146</w:t>
      </w:r>
      <w:r>
        <w:rPr>
          <w:rFonts w:ascii="Times New Roman"/>
          <w:b w:val="false"/>
          <w:i w:val="false"/>
          <w:color w:val="000000"/>
          <w:sz w:val="28"/>
        </w:rPr>
        <w:t xml:space="preserve"> слова «должны быть извлечены» заменить словом «извлекаются».</w:t>
      </w:r>
      <w:r>
        <w:br/>
      </w:r>
      <w:r>
        <w:rPr>
          <w:rFonts w:ascii="Times New Roman"/>
          <w:b w:val="false"/>
          <w:i w:val="false"/>
          <w:color w:val="000000"/>
          <w:sz w:val="28"/>
        </w:rPr>
        <w:t>
      2. Контроль за исполнением настоящего решения возложить на постоянную комиссию по вопросам градостроительства, благоустройства и коммунальной собственности (Нам О.Ю.) и заместителя акима города Алматы Долженкова В.А.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ХХVII-й сессии</w:t>
      </w:r>
      <w:r>
        <w:br/>
      </w:r>
      <w:r>
        <w:rPr>
          <w:rFonts w:ascii="Times New Roman"/>
          <w:b w:val="false"/>
          <w:i w:val="false"/>
          <w:color w:val="000000"/>
          <w:sz w:val="28"/>
        </w:rPr>
        <w:t>
</w:t>
      </w:r>
      <w:r>
        <w:rPr>
          <w:rFonts w:ascii="Times New Roman"/>
          <w:b w:val="false"/>
          <w:i/>
          <w:color w:val="000000"/>
          <w:sz w:val="28"/>
        </w:rPr>
        <w:t>      маслихата города Алматы</w:t>
      </w:r>
      <w:r>
        <w:br/>
      </w:r>
      <w:r>
        <w:rPr>
          <w:rFonts w:ascii="Times New Roman"/>
          <w:b w:val="false"/>
          <w:i w:val="false"/>
          <w:color w:val="000000"/>
          <w:sz w:val="28"/>
        </w:rPr>
        <w:t>
</w:t>
      </w:r>
      <w:r>
        <w:rPr>
          <w:rFonts w:ascii="Times New Roman"/>
          <w:b w:val="false"/>
          <w:i/>
          <w:color w:val="000000"/>
          <w:sz w:val="28"/>
        </w:rPr>
        <w:t>      IV-го созыва                            Б. Шин</w:t>
      </w:r>
    </w:p>
    <w:p>
      <w:pPr>
        <w:spacing w:after="0"/>
        <w:ind w:left="0"/>
        <w:jc w:val="both"/>
      </w:pPr>
      <w:r>
        <w:rPr>
          <w:rFonts w:ascii="Times New Roman"/>
          <w:b w:val="false"/>
          <w:i/>
          <w:color w:val="000000"/>
          <w:sz w:val="28"/>
        </w:rPr>
        <w:t>      Секретарь маслихата города</w:t>
      </w:r>
      <w:r>
        <w:br/>
      </w:r>
      <w:r>
        <w:rPr>
          <w:rFonts w:ascii="Times New Roman"/>
          <w:b w:val="false"/>
          <w:i w:val="false"/>
          <w:color w:val="000000"/>
          <w:sz w:val="28"/>
        </w:rPr>
        <w:t>
</w:t>
      </w:r>
      <w:r>
        <w:rPr>
          <w:rFonts w:ascii="Times New Roman"/>
          <w:b w:val="false"/>
          <w:i/>
          <w:color w:val="000000"/>
          <w:sz w:val="28"/>
        </w:rPr>
        <w:t>      Алматы IV-го созыва                     Т. Мукашев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