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64a0" w14:textId="0c1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22 сессии Петропавловского городского маслихата от 25 декабря 2009 года N 1 "О бюджете города Петропавловска на 2010-2012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14 декабря 2010 года N 1. Зарегистрировано Департаментом юстиции Северо-Казахстанской области 11 января 2011 года N 13-1-187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3</w:t>
      </w:r>
      <w:r>
        <w:rPr>
          <w:rFonts w:ascii="Times New Roman"/>
          <w:b w:val="false"/>
          <w:i w:val="false"/>
          <w:color w:val="000000"/>
          <w:sz w:val="28"/>
        </w:rPr>
        <w:t xml:space="preserve"> статьи 28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2010-2012 годы» от 25 декабря 2009 года № 1 (зарегистрировано в Реестре государственной регистрации нормативных правовых актов за № 13-1-168 от 18 января 2010 года, опубликовано 22 января 2010 года в газетах «Қызылжар-Нұры» № 5, «Проспект СК» № 4), следующие изменения: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«10853407,3 » заменить цифрами «10853152,3»;</w:t>
      </w:r>
      <w:r>
        <w:br/>
      </w:r>
      <w:r>
        <w:rPr>
          <w:rFonts w:ascii="Times New Roman"/>
          <w:b w:val="false"/>
          <w:i w:val="false"/>
          <w:color w:val="000000"/>
          <w:sz w:val="28"/>
        </w:rPr>
        <w:t>
      цифры «4767770 » заменить цифрами «4782770»;</w:t>
      </w:r>
      <w:r>
        <w:br/>
      </w:r>
      <w:r>
        <w:rPr>
          <w:rFonts w:ascii="Times New Roman"/>
          <w:b w:val="false"/>
          <w:i w:val="false"/>
          <w:color w:val="000000"/>
          <w:sz w:val="28"/>
        </w:rPr>
        <w:t>
      цифры «963169 » заменить цифрами «948169»;</w:t>
      </w:r>
      <w:r>
        <w:br/>
      </w:r>
      <w:r>
        <w:rPr>
          <w:rFonts w:ascii="Times New Roman"/>
          <w:b w:val="false"/>
          <w:i w:val="false"/>
          <w:color w:val="000000"/>
          <w:sz w:val="28"/>
        </w:rPr>
        <w:t>
      цифры «5095193,3» заменить цифрами « 5094938,3»;</w:t>
      </w:r>
      <w:r>
        <w:br/>
      </w:r>
      <w:r>
        <w:rPr>
          <w:rFonts w:ascii="Times New Roman"/>
          <w:b w:val="false"/>
          <w:i w:val="false"/>
          <w:color w:val="000000"/>
          <w:sz w:val="28"/>
        </w:rPr>
        <w:t>
      в подпункте 2)</w:t>
      </w:r>
      <w:r>
        <w:br/>
      </w:r>
      <w:r>
        <w:rPr>
          <w:rFonts w:ascii="Times New Roman"/>
          <w:b w:val="false"/>
          <w:i w:val="false"/>
          <w:color w:val="000000"/>
          <w:sz w:val="28"/>
        </w:rPr>
        <w:t>
      цифры «10973359,2» заменить цифрами «10973104,2».</w:t>
      </w:r>
      <w:r>
        <w:br/>
      </w:r>
      <w:r>
        <w:rPr>
          <w:rFonts w:ascii="Times New Roman"/>
          <w:b w:val="false"/>
          <w:i w:val="false"/>
          <w:color w:val="000000"/>
          <w:sz w:val="28"/>
        </w:rPr>
        <w:t>
      в пункте 10:</w:t>
      </w:r>
      <w:r>
        <w:br/>
      </w:r>
      <w:r>
        <w:rPr>
          <w:rFonts w:ascii="Times New Roman"/>
          <w:b w:val="false"/>
          <w:i w:val="false"/>
          <w:color w:val="000000"/>
          <w:sz w:val="28"/>
        </w:rPr>
        <w:t>
      подпункте 9)</w:t>
      </w:r>
      <w:r>
        <w:br/>
      </w:r>
      <w:r>
        <w:rPr>
          <w:rFonts w:ascii="Times New Roman"/>
          <w:b w:val="false"/>
          <w:i w:val="false"/>
          <w:color w:val="000000"/>
          <w:sz w:val="28"/>
        </w:rPr>
        <w:t>
      цифры «924522» заменить цифрами «924267»;</w:t>
      </w:r>
      <w:r>
        <w:br/>
      </w:r>
      <w:r>
        <w:rPr>
          <w:rFonts w:ascii="Times New Roman"/>
          <w:b w:val="false"/>
          <w:i w:val="false"/>
          <w:color w:val="000000"/>
          <w:sz w:val="28"/>
        </w:rPr>
        <w:t>
      цифры «283262» заменить цифрами «283007»;</w:t>
      </w:r>
      <w:r>
        <w:br/>
      </w:r>
      <w:r>
        <w:rPr>
          <w:rFonts w:ascii="Times New Roman"/>
          <w:b w:val="false"/>
          <w:i w:val="false"/>
          <w:color w:val="000000"/>
          <w:sz w:val="28"/>
        </w:rPr>
        <w:t>
      в пункте 13:</w:t>
      </w:r>
      <w:r>
        <w:br/>
      </w:r>
      <w:r>
        <w:rPr>
          <w:rFonts w:ascii="Times New Roman"/>
          <w:b w:val="false"/>
          <w:i w:val="false"/>
          <w:color w:val="000000"/>
          <w:sz w:val="28"/>
        </w:rPr>
        <w:t>
      цифры «79445,4» заменить цифрами «78341».</w:t>
      </w:r>
      <w:r>
        <w:br/>
      </w:r>
      <w:r>
        <w:rPr>
          <w:rFonts w:ascii="Times New Roman"/>
          <w:b w:val="false"/>
          <w:i w:val="false"/>
          <w:color w:val="000000"/>
          <w:sz w:val="28"/>
        </w:rPr>
        <w:t>
      приложение 1, 4, 6, 9 к указанному решению изложить в новой редакции согласно приложению 1, 2, 3, 4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А. Фомин                                   Р. Сыздыков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отдела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Ш. Баширова</w:t>
      </w:r>
      <w:r>
        <w:br/>
      </w:r>
      <w:r>
        <w:rPr>
          <w:rFonts w:ascii="Times New Roman"/>
          <w:b w:val="false"/>
          <w:i w:val="false"/>
          <w:color w:val="000000"/>
          <w:sz w:val="28"/>
        </w:rPr>
        <w:t>
</w:t>
      </w:r>
      <w:r>
        <w:rPr>
          <w:rFonts w:ascii="Times New Roman"/>
          <w:b w:val="false"/>
          <w:i/>
          <w:color w:val="000000"/>
          <w:sz w:val="28"/>
        </w:rPr>
        <w:t>      14 декабря 2010 года</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32 сессии городского маслихата IV созыва № 1</w:t>
      </w:r>
      <w:r>
        <w:br/>
      </w:r>
      <w:r>
        <w:rPr>
          <w:rFonts w:ascii="Times New Roman"/>
          <w:b w:val="false"/>
          <w:i w:val="false"/>
          <w:color w:val="000000"/>
          <w:sz w:val="28"/>
        </w:rPr>
        <w:t>
от 14 декабря 2010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Бюджет города Петропавловска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033"/>
        <w:gridCol w:w="30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10 853 152,3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4 782 770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353 153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 работ, услуг) государственными учреждениями, финансируемыми из государственного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 работ, услуг) государственными учреждениями, финансируемыми из государственного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7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948 169</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60"/>
        <w:gridCol w:w="783"/>
        <w:gridCol w:w="8416"/>
        <w:gridCol w:w="340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10 973 104,2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11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136 848,7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14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0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4 566 327,2</w:t>
            </w:r>
          </w:p>
        </w:tc>
      </w:tr>
      <w:tr>
        <w:trPr>
          <w:trHeight w:val="8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1 563 662,7</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253 334,7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442351</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9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ветеринарии района (города областного значения)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226 860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9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w:t>
            </w:r>
            <w:r>
              <w:br/>
            </w:r>
            <w:r>
              <w:rPr>
                <w:rFonts w:ascii="Times New Roman"/>
                <w:b w:val="false"/>
                <w:i w:val="false"/>
                <w:color w:val="000000"/>
                <w:sz w:val="20"/>
              </w:rPr>
              <w:t>
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32 сессии городского маслихата IV созыва № 1</w:t>
      </w:r>
      <w:r>
        <w:br/>
      </w:r>
      <w:r>
        <w:rPr>
          <w:rFonts w:ascii="Times New Roman"/>
          <w:b w:val="false"/>
          <w:i w:val="false"/>
          <w:color w:val="000000"/>
          <w:sz w:val="28"/>
        </w:rPr>
        <w:t>
от 14 декабря 2010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xml:space="preserve">
к решению 22 сессии городского маслихата IV созыва № 1 </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933"/>
        <w:gridCol w:w="6873"/>
        <w:gridCol w:w="26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w:t>
            </w:r>
            <w:r>
              <w:br/>
            </w:r>
            <w:r>
              <w:rPr>
                <w:rFonts w:ascii="Times New Roman"/>
                <w:b w:val="false"/>
                <w:i w:val="false"/>
                <w:color w:val="000000"/>
                <w:sz w:val="20"/>
              </w:rPr>
              <w:t>
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3 429 720,5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(или)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тех.паспорта на 102-х квартирный коммунальный жилой дом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102-х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и их регистрация на арендно-коммунальное жилье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изготовление ПСД для строительства арендно-</w:t>
            </w:r>
            <w:r>
              <w:br/>
            </w:r>
            <w:r>
              <w:rPr>
                <w:rFonts w:ascii="Times New Roman"/>
                <w:b w:val="false"/>
                <w:i w:val="false"/>
                <w:color w:val="000000"/>
                <w:sz w:val="20"/>
              </w:rPr>
              <w:t>
коммунального жилья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обустройство и (или) приобретение инженерно-</w:t>
            </w:r>
            <w:r>
              <w:br/>
            </w:r>
            <w:r>
              <w:rPr>
                <w:rFonts w:ascii="Times New Roman"/>
                <w:b w:val="false"/>
                <w:i w:val="false"/>
                <w:color w:val="000000"/>
                <w:sz w:val="20"/>
              </w:rPr>
              <w:t>
коммуникационной инфраструктуры в соответствии с Государственной программой жилищного строительства в Республике Казахстан на 2008-2010 годы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жилых домов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государственного акта и землеустроительного проекта по развитию и благоустройству инженерно-коммуникационной инфраструктуры жилого массива "Орман", ул. Юбилейная, 3"В", 3 "Г", 3"Д"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дренажно-ливневой канализации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 регистрация инвентарных дел инженерно-коммуникационной инфраструктуры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инвентарных дел и технических паспортов на инженерные сети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и прохождение экспертизы по объекту внешние сети электроснабжения арендно-коммунального жилья 1 этапа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строительство инженерно-коммуникационной инфраструктуры в п. Береке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и приобретение жилья для работников объектов, построенных в рамках программы "100 школ, 100 больниц"</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60-ти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75-ти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80-ти квартирного жилого дома по ул. Юбилейная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проектов,технических паспортов и их регистрация на ипотечное жилье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водовода к дачным поселкам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с прохождением экспертизы водопровода на 2632 км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установка скульптурных композиций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остановочных павильонов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449 165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кабельных линий, трансформаторных подстанций,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электрических сетей и трансформаторных подстанций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и разъезду 2632 км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 За счет средств местного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с прохождением экспертизы теплоснабжения пос. Заречный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32 сессии городского маслихата IV созыва № 1</w:t>
      </w:r>
      <w:r>
        <w:br/>
      </w:r>
      <w:r>
        <w:rPr>
          <w:rFonts w:ascii="Times New Roman"/>
          <w:b w:val="false"/>
          <w:i w:val="false"/>
          <w:color w:val="000000"/>
          <w:sz w:val="28"/>
        </w:rPr>
        <w:t>
от 14 декабря 2010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40"/>
        <w:gridCol w:w="967"/>
        <w:gridCol w:w="9033"/>
        <w:gridCol w:w="264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2 696 019,3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организаций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2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учебными материалами дошкольных организаций образования, организаций среднего, технического и профессионального, после среднего образования, институтов повышения квалификации по предмету "Самопознание"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норм питания в медико-социальных учреждениях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16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1 661 755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7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ливневых канализаций по ул. Сатпаева и ул. Интернациональной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теплоснабжения (пр. Московский; ул. Радищева; ул. Матросова; ул. Уральская; ул. Интернациональная 74, 76, 78; ул. Астана 34, 36, 38)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электрических сетей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283 007</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9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внеочередной 32 сессии городского маслихата IV созыва № 1</w:t>
      </w:r>
      <w:r>
        <w:br/>
      </w:r>
      <w:r>
        <w:rPr>
          <w:rFonts w:ascii="Times New Roman"/>
          <w:b w:val="false"/>
          <w:i w:val="false"/>
          <w:color w:val="000000"/>
          <w:sz w:val="28"/>
        </w:rPr>
        <w:t>
от 14 декабря 2010 года</w:t>
      </w:r>
    </w:p>
    <w:bookmarkEnd w:id="4"/>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642"/>
        <w:gridCol w:w="2646"/>
      </w:tblGrid>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29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МРП</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тыс.тенге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