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9297" w14:textId="8099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24 февраля 2010 года N 21/7. Зарегистрировано Управлением юстиции Тимирязевского района Северо-Казахстанской области 2 апреля 2010 года N 13-12-101. Утратило силу решением маслихата Тимирязевского района Северо-Казахстанской области от 5 февраля 2014 года N 23/1</w:t>
      </w:r>
    </w:p>
    <w:p>
      <w:pPr>
        <w:spacing w:after="0"/>
        <w:ind w:left="0"/>
        <w:jc w:val="both"/>
      </w:pPr>
      <w:bookmarkStart w:name="z1" w:id="0"/>
      <w:r>
        <w:rPr>
          <w:rFonts w:ascii="Times New Roman"/>
          <w:b w:val="false"/>
          <w:i w:val="false"/>
          <w:color w:val="ff0000"/>
          <w:sz w:val="28"/>
        </w:rPr>
        <w:t>
      Сноска. Утратило силу решением маслихата Тимирязевского района Северо-Казахстанской области от 05.02.2014 N 23/1</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районного маслихата от 25 декабря 2009 года № 19/1 «О районном бюджете Тимирязевского района на 2010-2012 годы» (зарегистрировано в государственном реестре нормативных правовых актов № 13-12-100 от 14 января 2010 года, опубликовано в газете «Нива» от 23 января 2010 года № 4)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Тимирязевского района:</w:t>
      </w:r>
      <w:r>
        <w:br/>
      </w:r>
      <w:r>
        <w:rPr>
          <w:rFonts w:ascii="Times New Roman"/>
          <w:b w:val="false"/>
          <w:i w:val="false"/>
          <w:color w:val="000000"/>
          <w:sz w:val="28"/>
        </w:rPr>
        <w:t>
      1) участникам и инвалидам Великой Отечественной войны на посещение бань, парикмахерских в размере 400 тенге, и для оплаты расходов на коммунальные услуги в размере 4-х месячных расчетных показателей ежемесячно;</w:t>
      </w:r>
      <w:r>
        <w:br/>
      </w:r>
      <w:r>
        <w:rPr>
          <w:rFonts w:ascii="Times New Roman"/>
          <w:b w:val="false"/>
          <w:i w:val="false"/>
          <w:color w:val="000000"/>
          <w:sz w:val="28"/>
        </w:rPr>
        <w:t>
      2)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на зубопротезирование согласно предоставленной счет-фактуры (кроме драгоценных металлов, протезов из металлопластики, металлокерамики, металлоакрила) один раз в год;</w:t>
      </w:r>
      <w:r>
        <w:br/>
      </w:r>
      <w:r>
        <w:rPr>
          <w:rFonts w:ascii="Times New Roman"/>
          <w:b w:val="false"/>
          <w:i w:val="false"/>
          <w:color w:val="000000"/>
          <w:sz w:val="28"/>
        </w:rPr>
        <w:t>
      3) участникам и инвалидам Великой Отечественной войны, приравненным к ним лицам, вдовам воинов, погибших в годы Великой Отечественной войны, не вступившим в повторный брак, семьям погибших военнослужащих, гражданам, трудившимся и проходившим воинскую службу в тылу, инвалидам всех групп, на санаторно-курортное лечение один раз в год в размере стоимости путевки;</w:t>
      </w:r>
      <w:r>
        <w:br/>
      </w:r>
      <w:r>
        <w:rPr>
          <w:rFonts w:ascii="Times New Roman"/>
          <w:b w:val="false"/>
          <w:i w:val="false"/>
          <w:color w:val="000000"/>
          <w:sz w:val="28"/>
        </w:rPr>
        <w:t>
      4) участникам и инвалидам Великой Отечественной войны на авиатуры для поездки в г.Астану.</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а также для оплаты расходов на коммунальные услуги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которое осуществляется медицинской организацией, имеющей лицензию на зубопротезирование, назначается один раз в год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в размере стоимости зубопротезирования (кроме драгоценных металлов, протезов из металлопластики, металлокерамики, металлоакрила)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451.007.000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Данное решение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Председатель XXI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Н. Никитенко                               А. Анненков</w:t>
      </w:r>
    </w:p>
    <w:p>
      <w:pPr>
        <w:spacing w:after="0"/>
        <w:ind w:left="0"/>
        <w:jc w:val="both"/>
      </w:pPr>
      <w:r>
        <w:rPr>
          <w:rFonts w:ascii="Times New Roman"/>
          <w:b w:val="false"/>
          <w:i/>
          <w:color w:val="000000"/>
          <w:sz w:val="28"/>
        </w:rPr>
        <w:t>      «СОГЛАСОВАНО»                              27 февраля 2010 года</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отдела занятости</w:t>
      </w:r>
      <w:r>
        <w:br/>
      </w:r>
      <w:r>
        <w:rPr>
          <w:rFonts w:ascii="Times New Roman"/>
          <w:b w:val="false"/>
          <w:i w:val="false"/>
          <w:color w:val="000000"/>
          <w:sz w:val="28"/>
        </w:rPr>
        <w:t>
</w:t>
      </w:r>
      <w:r>
        <w:rPr>
          <w:rFonts w:ascii="Times New Roman"/>
          <w:b w:val="false"/>
          <w:i/>
          <w:color w:val="000000"/>
          <w:sz w:val="28"/>
        </w:rPr>
        <w:t>      и социальных программ                      Е. Косубаев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