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2538" w14:textId="9182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Исатайском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2010 года N 219-IV. Зарегистрировано Управлением юстиции Исатайского района Атырауской области 17 января 2011 года N 4-4-172. Утратило силу решением Исатайского районного маслихата Атырауской области от 27 января 2012 года № 13-V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Исатайского 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Атырауской области от 27.01.2012 № 13-V.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Казахстан" от 4 декабря 2008 года N 95-ІV,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148, рассмотрев предложенный акиматом района районный бюджет на 2011-2013 годы Исатайского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2 416 907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744 587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1 658 027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2 438 691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29 484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-50 675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50 675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Исатайского района Атырауской области от 31.01.2011 № </w:t>
      </w:r>
      <w:r>
        <w:rPr>
          <w:rFonts w:ascii="Times New Roman"/>
          <w:b w:val="false"/>
          <w:i w:val="false"/>
          <w:color w:val="000000"/>
          <w:sz w:val="28"/>
        </w:rPr>
        <w:t>240-ІV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259-IV; </w:t>
      </w:r>
      <w:r>
        <w:rPr>
          <w:rFonts w:ascii="Times New Roman"/>
          <w:b w:val="false"/>
          <w:i w:val="false"/>
          <w:color w:val="ff0000"/>
          <w:sz w:val="28"/>
        </w:rPr>
        <w:t>от 16.08.2011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272-IV;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11.11.2011 № </w:t>
      </w:r>
      <w:r>
        <w:rPr>
          <w:rFonts w:ascii="Times New Roman"/>
          <w:b w:val="false"/>
          <w:i w:val="false"/>
          <w:color w:val="000000"/>
          <w:sz w:val="28"/>
        </w:rPr>
        <w:t>287-IV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районного бюджета в соответствии с Бюджетным кодексом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 декабря 2010 года № 372-IV "Об областном бюджете на 2011-2013 годы" будет формироваться за счет следующих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налоговые поступления в бюджет района,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установленные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установленные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имущества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консульских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 в бюджет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находящегося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в бюджет района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поступления от погашения выданных из бюджета района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2011 год объем субвенций в сумме 1 081 699 тысяча тенге, передаваемый из областного бюджета в районый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2011 год предусмотрены целевые текущие трансферты из республиканского бюджета, в сумме – 74 829 тысяча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3 911 тысяча тенге –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14 376 тысяча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3 109 тысяча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5 146 тысяча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12 288 тысяча тенге –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22 164 тысяча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20 502 тысяча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1 560 тысяча тенге - на поддержку частного предпринимательства в рамках программы "Дорожная карта бизнеса –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Исатайского района Атырауской области от 31.01.2011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240-ІV; </w:t>
      </w:r>
      <w:r>
        <w:rPr>
          <w:rFonts w:ascii="Times New Roman"/>
          <w:b w:val="false"/>
          <w:i w:val="false"/>
          <w:color w:val="ff0000"/>
          <w:sz w:val="28"/>
        </w:rPr>
        <w:t>от 17.03.2011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250-IV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от 16.08.2011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272-IV;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11.11.2011 № </w:t>
      </w:r>
      <w:r>
        <w:rPr>
          <w:rFonts w:ascii="Times New Roman"/>
          <w:b w:val="false"/>
          <w:i w:val="false"/>
          <w:color w:val="000000"/>
          <w:sz w:val="28"/>
        </w:rPr>
        <w:t>287-IV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2011 год предусмотрены целевые трансферты из республиканского бюджета на сумму 282 935 тысяча тенге на строительство и реконструкцию объектов питьевого водоснабжения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2011 год предусмотрены бюджетные кредиты для специалистов социальной сферы сельских населенных пунктов в сумме 23 815 тысяч тенге, в соответствии утвержденным положениям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увеличения размера доплаты за квалификационную категорию учителям школ и воспитателям дошкольных организаций образования 9 805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дополнением, внесенными решениями маслихата Исатайского района Атырауской области от 31.01.2011 № </w:t>
      </w:r>
      <w:r>
        <w:rPr>
          <w:rFonts w:ascii="Times New Roman"/>
          <w:b w:val="false"/>
          <w:i w:val="false"/>
          <w:color w:val="000000"/>
          <w:sz w:val="28"/>
        </w:rPr>
        <w:t>240-ІV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259-IV; </w:t>
      </w:r>
      <w:r>
        <w:rPr>
          <w:rFonts w:ascii="Times New Roman"/>
          <w:b w:val="false"/>
          <w:i w:val="false"/>
          <w:color w:val="ff0000"/>
          <w:sz w:val="28"/>
        </w:rPr>
        <w:t>от 16.08.2011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2011 год в сумме 4000 тысяч тенге для ликвидации чрезвычайных ситуации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в размере 5 тысяча тенге оказания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Специалистам здравоохранения, образования, социального обеспечения, культуры и спорта, работающим расположенных в сельских населенных пунктах, устанавливаются двадцать пять процентов оклады и тарифные ставки по сравнению с окладами и тарифными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районных бюджетных программ, принимая во внимания утвержденные программы решением областного маслихата,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финансирования бюджетных программ районного бюджета на 2011 год в разрезе сельских округов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2011 год предусмотрены целевые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147 610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5 000 тысяч тенге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4 000 тысяч тенге для обеспечение жильем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28 080 тысяч тенге на текущее содержание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8 000 тысяч тенге на организацию водоснабжения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маслихата Исатайского района Атырауской области от 11.11.2011 № </w:t>
      </w:r>
      <w:r>
        <w:rPr>
          <w:rFonts w:ascii="Times New Roman"/>
          <w:b w:val="false"/>
          <w:i w:val="false"/>
          <w:color w:val="000000"/>
          <w:sz w:val="28"/>
        </w:rPr>
        <w:t>287-IV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Б. Аманбай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Ж. Кадимов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287-IV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- решением маслихата Исатайского района Атырауской области от 11.11.2011 № </w:t>
      </w:r>
      <w:r>
        <w:rPr>
          <w:rFonts w:ascii="Times New Roman"/>
          <w:b w:val="false"/>
          <w:i w:val="false"/>
          <w:color w:val="ff0000"/>
          <w:sz w:val="28"/>
        </w:rPr>
        <w:t>287-IV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99"/>
        <w:gridCol w:w="795"/>
        <w:gridCol w:w="9334"/>
        <w:gridCol w:w="22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2416907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744587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582641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1658027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1658027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4"/>
        <w:gridCol w:w="858"/>
        <w:gridCol w:w="800"/>
        <w:gridCol w:w="8317"/>
        <w:gridCol w:w="22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2438691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116597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1"/>
        <w:gridCol w:w="910"/>
        <w:gridCol w:w="8853"/>
        <w:gridCol w:w="2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000"/>
        <w:gridCol w:w="954"/>
        <w:gridCol w:w="954"/>
        <w:gridCol w:w="7771"/>
        <w:gridCol w:w="23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51"/>
        <w:gridCol w:w="892"/>
        <w:gridCol w:w="8696"/>
        <w:gridCol w:w="2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964"/>
        <w:gridCol w:w="906"/>
        <w:gridCol w:w="8826"/>
        <w:gridCol w:w="233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-50 675</w:t>
            </w:r>
          </w:p>
        </w:tc>
      </w:tr>
      <w:tr>
        <w:trPr>
          <w:trHeight w:val="1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018"/>
        <w:gridCol w:w="953"/>
        <w:gridCol w:w="992"/>
        <w:gridCol w:w="7752"/>
        <w:gridCol w:w="2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</w:tbl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219-IV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7"/>
        <w:gridCol w:w="986"/>
        <w:gridCol w:w="8875"/>
        <w:gridCol w:w="221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1719746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581288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557461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934237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934237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4"/>
        <w:gridCol w:w="1009"/>
        <w:gridCol w:w="1010"/>
        <w:gridCol w:w="7876"/>
        <w:gridCol w:w="21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1719746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1294128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184593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184593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1082121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1082121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1011338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7"/>
        <w:gridCol w:w="776"/>
        <w:gridCol w:w="9024"/>
        <w:gridCol w:w="2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89"/>
        <w:gridCol w:w="801"/>
        <w:gridCol w:w="820"/>
        <w:gridCol w:w="8288"/>
        <w:gridCol w:w="2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8"/>
        <w:gridCol w:w="795"/>
        <w:gridCol w:w="9086"/>
        <w:gridCol w:w="2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08"/>
        <w:gridCol w:w="789"/>
        <w:gridCol w:w="910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0"/>
        <w:gridCol w:w="801"/>
        <w:gridCol w:w="820"/>
        <w:gridCol w:w="8299"/>
        <w:gridCol w:w="2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219-IV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86"/>
        <w:gridCol w:w="765"/>
        <w:gridCol w:w="9091"/>
        <w:gridCol w:w="22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1727840</w:t>
            </w:r>
          </w:p>
        </w:tc>
      </w:tr>
      <w:tr>
        <w:trPr>
          <w:trHeight w:val="1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824688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54139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54139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621979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596484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882612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882612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84"/>
        <w:gridCol w:w="787"/>
        <w:gridCol w:w="728"/>
        <w:gridCol w:w="8332"/>
        <w:gridCol w:w="22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1727840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145381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1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1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1302221</w:t>
            </w:r>
          </w:p>
        </w:tc>
      </w:tr>
      <w:tr>
        <w:trPr>
          <w:trHeight w:val="1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1090100</w:t>
            </w:r>
          </w:p>
        </w:tc>
      </w:tr>
      <w:tr>
        <w:trPr>
          <w:trHeight w:val="2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1090100</w:t>
            </w:r>
          </w:p>
        </w:tc>
      </w:tr>
      <w:tr>
        <w:trPr>
          <w:trHeight w:val="2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1019317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70783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1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24"/>
        <w:gridCol w:w="212"/>
        <w:gridCol w:w="403"/>
        <w:gridCol w:w="422"/>
        <w:gridCol w:w="9193"/>
        <w:gridCol w:w="22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78"/>
        <w:gridCol w:w="786"/>
        <w:gridCol w:w="766"/>
        <w:gridCol w:w="8410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9"/>
        <w:gridCol w:w="768"/>
        <w:gridCol w:w="9182"/>
        <w:gridCol w:w="2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6"/>
        <w:gridCol w:w="766"/>
        <w:gridCol w:w="9188"/>
        <w:gridCol w:w="2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790"/>
        <w:gridCol w:w="770"/>
        <w:gridCol w:w="8415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219-IV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секвестрированию в процессе исполнения местных бюджетов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24"/>
        <w:gridCol w:w="727"/>
        <w:gridCol w:w="115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программы определенные решением областного маслихата</w:t>
            </w:r>
          </w:p>
        </w:tc>
      </w:tr>
    </w:tbl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219-IV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287-IV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новой редакции - решением маслихата Исатайского района Атырауской области от 11.11.2011 № </w:t>
      </w:r>
      <w:r>
        <w:rPr>
          <w:rFonts w:ascii="Times New Roman"/>
          <w:b w:val="false"/>
          <w:i w:val="false"/>
          <w:color w:val="ff0000"/>
          <w:sz w:val="28"/>
        </w:rPr>
        <w:t>287-IV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Финансирование бюджетных программ районного бюджета на 2011 год в разрезе сельских округов в следующих размерах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107"/>
        <w:gridCol w:w="1675"/>
        <w:gridCol w:w="1479"/>
        <w:gridCol w:w="1936"/>
        <w:gridCol w:w="1745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"/>
        <w:gridCol w:w="6034"/>
        <w:gridCol w:w="1653"/>
        <w:gridCol w:w="1539"/>
        <w:gridCol w:w="1940"/>
        <w:gridCol w:w="1774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184094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