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5c60" w14:textId="c465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24 декабря 2009 года № 20/3-IV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13 апреля 2010 года N 23/5-IV. Зарегистрировано управлением юстиции Глубоковского района Департамента юстиции Восточно-Казахстанской области 23 апреля 2010 года за N 5-9-128. Утратило силу в связи с истечением срока действия (письмо Глубоковского районного маслихата от 05 января 2011 года № 1)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Глубоковского районного маслихата от 05.01.2011 № 1).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апреля 2010 года № 20/245-IV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 (зарегистрировано в Реестре государственной регистрации нормативных правовых актов № 2528)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районном бюджете на 2010-2012 годы» от 24 декабря 2009 года № 20/3-IV (зарегистрировано в Реестре государственной регистрации нормативных правовых актов № 5-9-119, опубликовано в газетах «Ақ бұлақ» от 7 и 15 января 2010 года № 2, 3, «Огни Прииртышья» от 7 и 15 января 2010 года № 2, 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2010-2012 годы согласно приложениям 1, 2,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–2592598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850430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196054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1542534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–2596490,8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4451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7643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7643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-15986,8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бюджета: 15986,8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11535,8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«46083» заменить цифрами «45953»;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«1450» заменить цифрами «1320»;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«82024» заменить цифрами «105790»;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«36096 тысяч тенге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«21478» заменить цифрами «17164»;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«9730» заменить цифрами «8980»;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«31902 тысячи тенге на реализацию государственного образовательного заказа в дошкольных организациях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А. Асанов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Глубоковского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А. Брагинец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Глубоковского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13 апреля 2010 года № 23/5-IV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Глубоковского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20/3-IV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Бюджет Глубоковского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25"/>
        <w:gridCol w:w="625"/>
        <w:gridCol w:w="8975"/>
        <w:gridCol w:w="2250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2592598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1050064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850430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347459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347459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202977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195954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1542534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1542534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643"/>
        <w:gridCol w:w="895"/>
        <w:gridCol w:w="895"/>
        <w:gridCol w:w="7848"/>
        <w:gridCol w:w="2239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
тыс. тенге
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2596490,8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204955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1600760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1451186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1451186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1345064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261487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192838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73002,8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73002,8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73002,8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-15986,8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15986,8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11535,8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Глубоковского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2010 года № 23/5-IV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Глубоковского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Расходы на услуги по обеспечению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акима района в городе, города районного значения, 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574"/>
        <w:gridCol w:w="3372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 округов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123001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1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Т О Г О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123606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Глубоковского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2010 года № 23/5-IV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Глубоковского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№ 20/3-IV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Расходы на освещение улиц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555"/>
        <w:gridCol w:w="3403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 округов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123008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Т О Г О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3792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Глубоковского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апреля 2010 года № 23/5-IV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Приложение 8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Глубоковского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№ 20/3-IV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Расходы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8473"/>
        <w:gridCol w:w="3403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 округов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123009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Т О Г О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5599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