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c2b2" w14:textId="e86c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02 ноября 2010 года N 26/6-IV. Зарегистрировано управлением юстиции Глубоковского района Департамента юстиции Восточно-Казахстанской области 02 декабря 2010 года за N 5-9-138. Прекращено действие по истечении срока действия (письмо Глубоковского районного маслихата от 30 декабря 2011 года № 332)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Глубоковского районного маслихата от 30.12.2011 № 332).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введении в действие Кодекса Республики Казахстан «О налогах и других обязательных платежах в бюджет»»,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стоимость разовых талонов для граждан Республики Казахстан, оралманов, деятельность которых носит </w:t>
      </w:r>
      <w:r>
        <w:rPr>
          <w:rFonts w:ascii="Times New Roman"/>
          <w:b w:val="false"/>
          <w:i w:val="false"/>
          <w:color w:val="000000"/>
          <w:sz w:val="28"/>
        </w:rPr>
        <w:t>эпизодический характер</w:t>
      </w:r>
      <w:r>
        <w:rPr>
          <w:rFonts w:ascii="Times New Roman"/>
          <w:b w:val="false"/>
          <w:i w:val="false"/>
          <w:color w:val="000000"/>
          <w:sz w:val="28"/>
        </w:rPr>
        <w:t>, по Глубоковскому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разовых талонов для граждан Республики Казахстан,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 Глубоковского района, за исключением реализации в киосках, стационарных помещениях (изолированных блоках) на территории рынка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 А. Авдеев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Глубоковского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А. Брагинец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Глубоковского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2010 года № 26/6-IV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граждан Республики Казахстан, оралманов, деятельность которых носит эпизодический характер </w:t>
      </w:r>
      <w:r>
        <w:br/>
      </w:r>
      <w:r>
        <w:rPr>
          <w:rFonts w:ascii="Times New Roman"/>
          <w:b/>
          <w:i w:val="false"/>
          <w:color w:val="000000"/>
        </w:rPr>
        <w:t>
по Глубоковскому району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033"/>
        <w:gridCol w:w="325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п/п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деятельности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талона за один день в тенге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рассада)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 придомовых участках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 хозяйства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садоводства, огородничества и дачных участков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веников, метел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ягод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Глубоковского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2010 года № 26/6-IV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граждан Республики Казахстан,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 Глубоковского района, за исключением реализации в киосках, стационарных помещениях (изолированных блоках) на территории рынка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033"/>
        <w:gridCol w:w="35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п/п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деятельности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талона за один день в тенге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реализации в киосках, стационарных помещениях (изолированных блоках) на территории рынка: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продовольственных товаров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товаров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