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26660" w14:textId="23266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здравоохранения Республики Казахстана от 26 ноября 2009 года № 801 "Об утверждении Методики формирования тарифов и планирования затрат на медицинские услуги, оказываемые в рамках гарантированного объема бесплатной медицинской помощи"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здравоохранения Республики Казахстан от 1 марта 2011 года № 105. Зарегистрирован Министерством юстиции Республики Казахстан 28 марта 2011 года № 6848. Утратил силу приказом Министра здравоохранения Республики Казахстан от 13 декабря 2022 года № ҚР ДСМ-158.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здравоохранения РК от 13.12.2022 </w:t>
      </w:r>
      <w:r>
        <w:rPr>
          <w:rFonts w:ascii="Times New Roman"/>
          <w:b w:val="false"/>
          <w:i w:val="false"/>
          <w:color w:val="ff0000"/>
          <w:sz w:val="28"/>
        </w:rPr>
        <w:t>№ ҚР ДСМ-158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Кодексом Республики Казахстан от 18 сентября 2009 года "О здоровье народа и системе здравоохранения",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26 ноября 2009 года № 801 "Об утверждении Методики формирования тарифов и планирования затрат на медицинские услуги, оказываемые в рамках гарантированного объема бесплатной медицинской помощи" (зарегистрированный в Реестре государственной регистрации нормативных правовых актов Республики Казахстан № 5946, опубликованный в собрании актов центральных исполнительных и иных центральных государственных органов республики Казахстан № 7, 2010 года),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формирования тарифов и планирования затрат на медицинские услуги, оказываемые в рамках гарантированного объема бесплатной медицинской помощи, утвержденную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стратегического развития Министерства здравоохранения Республики Казахстан (Токежанов Б.Т.) обеспечить в установленном законодательством порядке государственную регистрацию настоящего приказа в Министерстве юстиции Республики Казахстан.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Юридическому Департаменту Министерства здравоохранения Республики Казахстан обеспечить в установленном законодательством порядке официальное опубликование настоящего приказа после его государственной регистрации.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Вице-министра здравоохранения Республики Казахстан Курмангалиеву А.Д.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И.о. министра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Э. Байжунусов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и.о.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 марта 2011 года № 105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ноября 2009 года № 801</w:t>
            </w:r>
          </w:p>
        </w:tc>
      </w:tr>
    </w:tbl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</w:t>
      </w:r>
      <w:r>
        <w:br/>
      </w:r>
      <w:r>
        <w:rPr>
          <w:rFonts w:ascii="Times New Roman"/>
          <w:b/>
          <w:i w:val="false"/>
          <w:color w:val="000000"/>
        </w:rPr>
        <w:t>формирования тарифов и планирования затрат</w:t>
      </w:r>
      <w:r>
        <w:br/>
      </w:r>
      <w:r>
        <w:rPr>
          <w:rFonts w:ascii="Times New Roman"/>
          <w:b/>
          <w:i w:val="false"/>
          <w:color w:val="000000"/>
        </w:rPr>
        <w:t>на медицинские услуги, оказываемые</w:t>
      </w:r>
      <w:r>
        <w:br/>
      </w:r>
      <w:r>
        <w:rPr>
          <w:rFonts w:ascii="Times New Roman"/>
          <w:b/>
          <w:i w:val="false"/>
          <w:color w:val="000000"/>
        </w:rPr>
        <w:t>в рамках гарантированного объема</w:t>
      </w:r>
      <w:r>
        <w:br/>
      </w:r>
      <w:r>
        <w:rPr>
          <w:rFonts w:ascii="Times New Roman"/>
          <w:b/>
          <w:i w:val="false"/>
          <w:color w:val="000000"/>
        </w:rPr>
        <w:t>бесплатной медицинской помощи</w:t>
      </w:r>
      <w:r>
        <w:br/>
      </w:r>
      <w:r>
        <w:rPr>
          <w:rFonts w:ascii="Times New Roman"/>
          <w:b/>
          <w:i w:val="false"/>
          <w:color w:val="000000"/>
        </w:rPr>
        <w:t>1. Основные положения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формирования тарифов и планирования затрат на медицинские услуги, оказываемые в рамках гарантированного объема бесплатной медицинской помощи (далее - Методика) разработана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18 сентября 2009 года "О здоровье народа и системе здравоохранения".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Настоящая Методика устанавливает механизм по определению тарифов на медицинские услуги, оказываемые в рамках гарантированного объема бесплатной медицинской помощи по следующим формам предоставления медицинской помощи: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первичная медико-санитарная помощь (далее – ПМСП);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консультативно-диагностическая помощь;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скорая медицинская помощь, санитарная авиация;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стационарная помощь;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стационарозамещающая помощь.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настоящей Методике используются следующие понятия: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подушевой норматив - установленная норма затрат, пересматриваемая ежегодно в расчете на одного человека для обеспечения конкретного объема медицинских услуг;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половозрастной поправочный коэффициент - это коэффициент, учитывающий различия в уровне потребления медицинской помощи разными половозрастными категориями населения;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тарификатор - перечень тарифов на оказываемые медицинские услуги;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тариф – стоимость оказания медицинской помощи за один пролеченный случай в организациях здравоохранения, оказывающих стационарную, стационарозамещающую помощь; за один вызов в организациях, оказывающих скорую медицинскую помощь, санитарной авиации;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тариф стационарной помощи – это интегральная стоимостная характеристика медико-экономических протоколов за один пролеченный случай;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медико-экономические протоколы – это группы заболеваний, объединяющие сходные клинические состояния и методы лечения, характеризуемые устойчивыми сочетаниями кодов болезней и оперативных вмешательств и обладающие сходной стоимостью и стоимостной характеристикой медицинских затрат с детальным описанием входящих функциональных (по структурным подразделениям) и структурных (по статьям затрат) компонентов;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предельные объемы стационарной помощи - определяемые уполномоченным органом в области здравоохранения годовые объемы стационарной помощи в разрезе областей, городов Астана и Алматы;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коэффициент затратоемкости услуг – отражает соотношение стоимости конкретной услуги к средней стоимости всех видов услуг;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базовый тариф тарификатора – это стоимость первичного приема врача терапевта (врача общей практики);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коммунальные и прочие расходы (далее – КПР) – это расходы, которые включают коммунальные и прочие расходы: отопление, электроэнергия, горячая и холодная вода, затраты на повышение квалификации медицинских работников, оплата банковских услуг, услуги связи, приобретение канцелярских товаров, командировочные расходы, текущий ремонт, аренда помещения для размещения стационара, приобретение хозяйственных товаров, мягкого инвентаря и прочих товаров и услуг. К КПР применяются индивидуальные, повышающие коэффициенты.</w:t>
      </w:r>
    </w:p>
    <w:bookmarkEnd w:id="24"/>
    <w:bookmarkStart w:name="z29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этапы расчета тарифов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Администратор бюджетных программ определяет: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плановый объем потребления медицинских услуг по формам помощи на планируемый период;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необходимый объем ресурсов для возмещения затрат медицинских организаций на оказание медицинской помощи. Планирование затрат по видам помощи осуществляется на основании действующих нормативов расходов, утвержденных законодательством Республики Казахстан.</w:t>
      </w:r>
    </w:p>
    <w:bookmarkEnd w:id="28"/>
    <w:bookmarkStart w:name="z33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Формирование тарифов на медицинские услуги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Для организаций здравоохранения, оказывающих ПМСП, тарифом является подушевой норматив, обслуживаемой территории и (или) прикрепления граждан с учетом права свободного выбора медицинской организации, который рассчитывается путем деления общего объема средств, предусмотренного государственного бюджета на количество прикрепленного населения в соответствии со статистическими данными и половозрастной поправочный коэффициент (Приложение 1).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Половозрастной поправочный коэффициент отражает относительное распределение по полу и возрасту бюджетных средств, предназначенных для оказания амбулаторно-поликлинической помощи.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Для организаций здравоохранения, оказывающих консультативно-диагностическую помощь, тарифом является базовый тариф тарификатора, который определяется путем деления объема средств за оказание консультативно–диагностической помощи на произведение среднего коэффициента затратоемкости услуги и планируемое количество оказания медицинских услуг в организациях, оказывающих консультативно-диагностическую помощь.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Коэффициент затратоемкости исчисляется как отношение стоимости конкретной услуги к стоимости базового тарифа.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Тарифы вызова скорой медицинской помощи и санитарной авиации определяются как отношение объема средств, предусмотренного государственного бюджета к количеству вызовов. При этом тариф на санитарную авиацию состоит из двух компонентов: медицинская часть, транспортная составляющая тарифа.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Тарифы организациям здравоохранения, оказывающим стационарную помощь, формируются путем суммации всех фактических расходов, связанных с оказанием медицинских услуг (заработная плата работников организаций здравоохранения, дополнительные денежные выплаты в соответствии с Трудовым кодексом Республики Казахстан, социальные отчисления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Налоговым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приобретение лекарственных средств, изделий медицинского назначения и расходных материалов, приобретение продуктов питания для пациентов, а также коммунальные и прочие расходы, включающие расходы на отопление, электроэнергию, горячую и холодную воду, затраты на повышение квалификации медицинских работников, оплату банковских услуг, услуг связи, приобретение канцелярских товаров, командировочные расходы, текущий ремонт, аренду помещения для размещения стационара, приобретение медицинской техники в лизинг, приобретение хозяйственных товаров, мягкого инвентаря и прочих товаров и услуг).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Тариф за пролеченные случаи стационарозамещающего лечения составляет 1/4 от фонда заработной платы, оплачиваемых за пролеченные случаи стационарного лечения.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Оплата коммунальных и прочих расходов при оказании стационарозамещающего лечения на дому не производится.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Оплата коммунальных и прочих расходов при лечении в дневном стационаре производится из расчета 1/6 от среднерегионального тарифа на коммунальные и прочие расходы.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Оплата расходов за пролеченные случаи стационарозамещающего лечения на лекарственные средства, изделия медицинского назначения и медицинские услуги оказываются по фактическим расходам, с учетом результатов контроля качества и объема оказанной медицинской помощи.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Оплата за оказанный объем услуг специализированной и высокоспециализированной медицинской помощи осуществляемой в форме консультативно-диагностической помощи производится по базовому тарифу, определяемому путем деления предусмотренных финансовых средств соответствующих бюджетов на планируемое количество оказания медицинских услуг с учетом коэффициентов затратоемкости.</w:t>
      </w:r>
    </w:p>
    <w:bookmarkEnd w:id="40"/>
    <w:bookmarkStart w:name="z45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3.1 Расчет расходов на обновление основных фондов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Расходы по планированию лизингового платежа для пилотных организаций здравоохранения, участвующих в проекте внедрения по приобретению медицинской техники в лизинг определяются согласно формуле: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ЛП = О</w:t>
      </w:r>
      <w:r>
        <w:rPr>
          <w:rFonts w:ascii="Times New Roman"/>
          <w:b w:val="false"/>
          <w:i w:val="false"/>
          <w:color w:val="000000"/>
          <w:vertAlign w:val="subscript"/>
        </w:rPr>
        <w:t>факт.средств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 </w:t>
      </w:r>
      <w:r>
        <w:rPr>
          <w:rFonts w:ascii="Times New Roman"/>
          <w:b w:val="false"/>
          <w:i w:val="false"/>
          <w:color w:val="000000"/>
          <w:vertAlign w:val="subscript"/>
        </w:rPr>
        <w:t>стац</w:t>
      </w:r>
      <w:r>
        <w:rPr>
          <w:rFonts w:ascii="Times New Roman"/>
          <w:b w:val="false"/>
          <w:i w:val="false"/>
          <w:color w:val="000000"/>
          <w:vertAlign w:val="subscript"/>
        </w:rPr>
        <w:t>.</w:t>
      </w:r>
      <w:r>
        <w:rPr>
          <w:rFonts w:ascii="Times New Roman"/>
          <w:b w:val="false"/>
          <w:i w:val="false"/>
          <w:color w:val="000000"/>
          <w:sz w:val="28"/>
        </w:rPr>
        <w:t xml:space="preserve"> х ЛП</w:t>
      </w:r>
      <w:r>
        <w:rPr>
          <w:rFonts w:ascii="Times New Roman"/>
          <w:b w:val="false"/>
          <w:i w:val="false"/>
          <w:color w:val="000000"/>
          <w:vertAlign w:val="subscript"/>
        </w:rPr>
        <w:t>год</w:t>
      </w:r>
      <w:r>
        <w:rPr>
          <w:rFonts w:ascii="Times New Roman"/>
          <w:b w:val="false"/>
          <w:i w:val="false"/>
          <w:color w:val="000000"/>
          <w:sz w:val="28"/>
        </w:rPr>
        <w:t xml:space="preserve"> / О</w:t>
      </w:r>
      <w:r>
        <w:rPr>
          <w:rFonts w:ascii="Times New Roman"/>
          <w:b w:val="false"/>
          <w:i w:val="false"/>
          <w:color w:val="000000"/>
          <w:vertAlign w:val="subscript"/>
        </w:rPr>
        <w:t>план.средств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 </w:t>
      </w:r>
      <w:r>
        <w:rPr>
          <w:rFonts w:ascii="Times New Roman"/>
          <w:b w:val="false"/>
          <w:i w:val="false"/>
          <w:color w:val="000000"/>
          <w:vertAlign w:val="subscript"/>
        </w:rPr>
        <w:t>стац</w:t>
      </w:r>
      <w:r>
        <w:rPr>
          <w:rFonts w:ascii="Times New Roman"/>
          <w:b w:val="false"/>
          <w:i w:val="false"/>
          <w:color w:val="000000"/>
          <w:vertAlign w:val="subscript"/>
        </w:rPr>
        <w:t>.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ЛП</w:t>
      </w:r>
      <w:r>
        <w:rPr>
          <w:rFonts w:ascii="Times New Roman"/>
          <w:b w:val="false"/>
          <w:i w:val="false"/>
          <w:color w:val="000000"/>
          <w:vertAlign w:val="subscript"/>
        </w:rPr>
        <w:t>год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годовая сумма расходов на погашение лизинговых платежей пилотной организации здравоохранения, оказывающей стационарную медицинскую помощь, согласно договору финансового лизинга;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</w:t>
      </w:r>
      <w:r>
        <w:rPr>
          <w:rFonts w:ascii="Times New Roman"/>
          <w:b w:val="false"/>
          <w:i w:val="false"/>
          <w:color w:val="000000"/>
          <w:vertAlign w:val="subscript"/>
        </w:rPr>
        <w:t>факт.средств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 </w:t>
      </w:r>
      <w:r>
        <w:rPr>
          <w:rFonts w:ascii="Times New Roman"/>
          <w:b w:val="false"/>
          <w:i w:val="false"/>
          <w:color w:val="000000"/>
          <w:vertAlign w:val="subscript"/>
        </w:rPr>
        <w:t>стац</w:t>
      </w:r>
      <w:r>
        <w:rPr>
          <w:rFonts w:ascii="Times New Roman"/>
          <w:b w:val="false"/>
          <w:i w:val="false"/>
          <w:color w:val="000000"/>
          <w:vertAlign w:val="subscript"/>
        </w:rPr>
        <w:t>.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сумма средств, фактически полученных от оказания стационарной помощи пилотной организацией здравоохранения, участвующей в закупе медицинской техники на условиях лизинга;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</w:t>
      </w:r>
      <w:r>
        <w:rPr>
          <w:rFonts w:ascii="Times New Roman"/>
          <w:b w:val="false"/>
          <w:i w:val="false"/>
          <w:color w:val="000000"/>
          <w:vertAlign w:val="subscript"/>
        </w:rPr>
        <w:t>план.средств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 </w:t>
      </w:r>
      <w:r>
        <w:rPr>
          <w:rFonts w:ascii="Times New Roman"/>
          <w:b w:val="false"/>
          <w:i w:val="false"/>
          <w:color w:val="000000"/>
          <w:vertAlign w:val="subscript"/>
        </w:rPr>
        <w:t>стац</w:t>
      </w:r>
      <w:r>
        <w:rPr>
          <w:rFonts w:ascii="Times New Roman"/>
          <w:b w:val="false"/>
          <w:i w:val="false"/>
          <w:color w:val="000000"/>
          <w:vertAlign w:val="subscript"/>
        </w:rPr>
        <w:t>.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сумма средств, планируемых получить от оказания стационарной помощи пилотной организацией здравоохранения, участвующей в закупе медицинской техники на условиях лизинга.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Годовые расходы организации здравоохранения, предусмотренные на обновление основных средств посредством приобретения медицинской техники в лизинг, не должны превышать суммы годового лизингового платежа, определенного договором между лизингодателем и лизингополучателем.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Средства, направленные на возмещение лизинговых платежей, используются только в рамках договоров финансового лизинга, заключенных с организацией, созданной Правительством Республики Казахстан, основным предметом деятельности которой является организация и проведение закупок медицинской техники для дальнейшей передачи организациям здравоохранения на условиях финансового лизинга.</w:t>
      </w:r>
    </w:p>
    <w:bookmarkEnd w:id="49"/>
    <w:bookmarkStart w:name="z54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3.2 Расчет расходов на повышение квалификации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Планирование расходов на повышение квалификации медицинских работников осуществляется для пилотных организаций здравоохранения Республики Казахстан, предоставляющих стационарную и стационарозамещающую помощь (кроме инфекционных заболеваний, психических расстройств и туберкулеза) по следующим показателям: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количество медицинских работников организаций здравоохранения Республики Казахстан, предоставляющих стационарную и стационарозамещающую помощь (кроме инфекционных заболеваний, психических расстройств и туберкулеза) по данным статистических форм;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объем средств, запланированных на повышение квалификации медицинских и фармацевтических работников в плановом году;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предельные объемы стационарной и лимиты стационарозамещающей помощи (кроме случаев лечения инфекционных заболеваний, психических расстройств и туберкулеза);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условная единица измерения для стационарной и стационарозамещающей помощи – пациент, который применяется при расчете на повышение квалификации медицинских работников.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Расходы на повышение квалификации медицинских работников организаций, оказывающих стационарную и стационарозамещающую помощь, определяются последовательно по следующим формулам: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Шаг 1: </w:t>
      </w:r>
    </w:p>
    <w:bookmarkEnd w:id="57"/>
    <w:p>
      <w:pPr>
        <w:spacing w:after="0"/>
        <w:ind w:left="0"/>
        <w:jc w:val="both"/>
      </w:pPr>
      <w:r>
        <w:drawing>
          <wp:inline distT="0" distB="0" distL="0" distR="0">
            <wp:extent cx="203200" cy="342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32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= Kn, где,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</w:t>
      </w:r>
      <w:r>
        <w:rPr>
          <w:rFonts w:ascii="Times New Roman"/>
          <w:b w:val="false"/>
          <w:i w:val="false"/>
          <w:color w:val="000000"/>
          <w:vertAlign w:val="subscript"/>
        </w:rPr>
        <w:t>n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количество медицинских работников, в организациях здравоохранения для региона "n", предоставляющих стационарную и стационарозамещающую помощь (кроме инфекционных заболеваний, психических расстройств и туберкулеза). Источник информации – статистические формы.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 – общее количество медицинских, в государственных организациях здравоохранения Республики Казахстан, предоставляющих стационарную и стационарозамещающую помощь (кроме инфекционных заболеваний, психических расстройств и туберкулеза). Источник информации – статистические формы.</w:t>
      </w:r>
    </w:p>
    <w:bookmarkEnd w:id="59"/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K</w:t>
      </w:r>
      <w:r>
        <w:rPr>
          <w:rFonts w:ascii="Times New Roman"/>
          <w:b w:val="false"/>
          <w:i w:val="false"/>
          <w:color w:val="000000"/>
          <w:vertAlign w:val="subscript"/>
        </w:rPr>
        <w:t>n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доля медицинских, региона "n", в организациях здравоохранения для региона "n", предоставляющих стационарную и стационарозамещающую помощь (кроме инфекционных заболеваний, психических расстройств и туберкулеза);</w:t>
      </w:r>
    </w:p>
    <w:bookmarkEnd w:id="60"/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Шаг 2: K</w:t>
      </w:r>
      <w:r>
        <w:rPr>
          <w:rFonts w:ascii="Times New Roman"/>
          <w:b w:val="false"/>
          <w:i w:val="false"/>
          <w:color w:val="000000"/>
          <w:vertAlign w:val="subscript"/>
        </w:rPr>
        <w:t>n</w:t>
      </w:r>
      <w:r>
        <w:rPr>
          <w:rFonts w:ascii="Times New Roman"/>
          <w:b w:val="false"/>
          <w:i w:val="false"/>
          <w:color w:val="000000"/>
          <w:sz w:val="28"/>
        </w:rPr>
        <w:t>*M=M</w:t>
      </w:r>
      <w:r>
        <w:rPr>
          <w:rFonts w:ascii="Times New Roman"/>
          <w:b w:val="false"/>
          <w:i w:val="false"/>
          <w:color w:val="000000"/>
          <w:vertAlign w:val="subscript"/>
        </w:rPr>
        <w:t>n</w:t>
      </w:r>
      <w:r>
        <w:rPr>
          <w:rFonts w:ascii="Times New Roman"/>
          <w:b w:val="false"/>
          <w:i w:val="false"/>
          <w:color w:val="000000"/>
          <w:sz w:val="28"/>
        </w:rPr>
        <w:t>, где,</w:t>
      </w:r>
    </w:p>
    <w:bookmarkEnd w:id="61"/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K</w:t>
      </w:r>
      <w:r>
        <w:rPr>
          <w:rFonts w:ascii="Times New Roman"/>
          <w:b w:val="false"/>
          <w:i w:val="false"/>
          <w:color w:val="000000"/>
          <w:vertAlign w:val="subscript"/>
        </w:rPr>
        <w:t>n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доля медицинских работников, региона "n", в организациях здравоохранения для региона "n", предоставляющих стационарную и стационарозамещающую помощь (кроме инфекционных заболеваний, психических расстройств и туберкулеза).</w:t>
      </w:r>
    </w:p>
    <w:bookmarkEnd w:id="62"/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M – общее количество медицинских и фармацевтических работников, работающих в организациях здравоохранения Республики Казахстан, предоставляющих стационарную и стационарозамещающую помощь (кроме инфекционных заболеваний, психических расстройств и туберкулеза), которые должны пройти повышение квалификации в плановом году.</w:t>
      </w:r>
    </w:p>
    <w:bookmarkEnd w:id="63"/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M</w:t>
      </w:r>
      <w:r>
        <w:rPr>
          <w:rFonts w:ascii="Times New Roman"/>
          <w:b w:val="false"/>
          <w:i w:val="false"/>
          <w:color w:val="000000"/>
          <w:vertAlign w:val="subscript"/>
        </w:rPr>
        <w:t>n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количество медицинских и фармацевтических работников, работающих в организациях здравоохранения региона "n", предоставляющих стационарную и стационарозамещающую помощь (кроме инфекционных заболеваний, психических расстройств и туберкулеза) которые должны пройти повышение квалификации в плановом году;</w:t>
      </w:r>
    </w:p>
    <w:bookmarkEnd w:id="64"/>
    <w:bookmarkStart w:name="z6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Шаг 3: C*M</w:t>
      </w:r>
      <w:r>
        <w:rPr>
          <w:rFonts w:ascii="Times New Roman"/>
          <w:b w:val="false"/>
          <w:i w:val="false"/>
          <w:color w:val="000000"/>
          <w:vertAlign w:val="subscript"/>
        </w:rPr>
        <w:t>n</w:t>
      </w:r>
      <w:r>
        <w:rPr>
          <w:rFonts w:ascii="Times New Roman"/>
          <w:b w:val="false"/>
          <w:i w:val="false"/>
          <w:color w:val="000000"/>
          <w:sz w:val="28"/>
        </w:rPr>
        <w:t>=S</w:t>
      </w:r>
      <w:r>
        <w:rPr>
          <w:rFonts w:ascii="Times New Roman"/>
          <w:b w:val="false"/>
          <w:i w:val="false"/>
          <w:color w:val="000000"/>
          <w:vertAlign w:val="subscript"/>
        </w:rPr>
        <w:t>n</w:t>
      </w:r>
      <w:r>
        <w:rPr>
          <w:rFonts w:ascii="Times New Roman"/>
          <w:b w:val="false"/>
          <w:i w:val="false"/>
          <w:color w:val="000000"/>
          <w:sz w:val="28"/>
        </w:rPr>
        <w:t>, где,</w:t>
      </w:r>
    </w:p>
    <w:bookmarkEnd w:id="65"/>
    <w:bookmarkStart w:name="z7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 – сумма средств, предусмотренная в бюджете на плановый год, на повышение квалификации 1 курсанта.</w:t>
      </w:r>
    </w:p>
    <w:bookmarkEnd w:id="66"/>
    <w:bookmarkStart w:name="z7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M</w:t>
      </w:r>
      <w:r>
        <w:rPr>
          <w:rFonts w:ascii="Times New Roman"/>
          <w:b w:val="false"/>
          <w:i w:val="false"/>
          <w:color w:val="000000"/>
          <w:vertAlign w:val="subscript"/>
        </w:rPr>
        <w:t>n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количество медицинских и фармацевтических работников, работающих в организациях здравоохранения региона "n", предоставляющих стационарную и стационарозамещающую помощь (кроме инфекционных заболеваний, психических расстройств и туберкулеза), которые должны пройти повышение квалификации в плановом году.</w:t>
      </w:r>
    </w:p>
    <w:bookmarkEnd w:id="67"/>
    <w:bookmarkStart w:name="z7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</w:t>
      </w:r>
      <w:r>
        <w:rPr>
          <w:rFonts w:ascii="Times New Roman"/>
          <w:b w:val="false"/>
          <w:i w:val="false"/>
          <w:color w:val="000000"/>
          <w:vertAlign w:val="subscript"/>
        </w:rPr>
        <w:t>n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сумма средств, предусмотренная в бюджете на плановый год на финансирование расходов, связанных с повышением квалификации медицинских и фармацевтических работников, для региона "n";</w:t>
      </w:r>
    </w:p>
    <w:bookmarkEnd w:id="68"/>
    <w:bookmarkStart w:name="z7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Шаг 4: </w:t>
      </w:r>
    </w:p>
    <w:bookmarkEnd w:id="69"/>
    <w:p>
      <w:pPr>
        <w:spacing w:after="0"/>
        <w:ind w:left="0"/>
        <w:jc w:val="both"/>
      </w:pPr>
      <w:r>
        <w:drawing>
          <wp:inline distT="0" distB="0" distL="0" distR="0">
            <wp:extent cx="215900" cy="342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59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= T</w:t>
      </w:r>
      <w:r>
        <w:rPr>
          <w:rFonts w:ascii="Times New Roman"/>
          <w:b w:val="false"/>
          <w:i w:val="false"/>
          <w:color w:val="000000"/>
          <w:vertAlign w:val="subscript"/>
        </w:rPr>
        <w:t>n</w:t>
      </w:r>
      <w:r>
        <w:rPr>
          <w:rFonts w:ascii="Times New Roman"/>
          <w:b w:val="false"/>
          <w:i w:val="false"/>
          <w:color w:val="000000"/>
          <w:sz w:val="28"/>
        </w:rPr>
        <w:t>, где,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</w:t>
      </w:r>
      <w:r>
        <w:rPr>
          <w:rFonts w:ascii="Times New Roman"/>
          <w:b w:val="false"/>
          <w:i w:val="false"/>
          <w:color w:val="000000"/>
          <w:vertAlign w:val="subscript"/>
        </w:rPr>
        <w:t>n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сумма средств, предусмотренная в бюджете на плановый год на финансирование расходов, связанных с повышением квалификации медицинских и фармацевтических работников, для региона "n".</w:t>
      </w:r>
    </w:p>
    <w:bookmarkEnd w:id="70"/>
    <w:bookmarkStart w:name="z7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L</w:t>
      </w:r>
      <w:r>
        <w:rPr>
          <w:rFonts w:ascii="Times New Roman"/>
          <w:b w:val="false"/>
          <w:i w:val="false"/>
          <w:color w:val="000000"/>
          <w:vertAlign w:val="subscript"/>
        </w:rPr>
        <w:t>n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условный предельный объем помощи, который определяется по формуле: Z</w:t>
      </w:r>
      <w:r>
        <w:rPr>
          <w:rFonts w:ascii="Times New Roman"/>
          <w:b w:val="false"/>
          <w:i w:val="false"/>
          <w:color w:val="000000"/>
          <w:vertAlign w:val="subscript"/>
        </w:rPr>
        <w:t>n</w:t>
      </w:r>
      <w:r>
        <w:rPr>
          <w:rFonts w:ascii="Times New Roman"/>
          <w:b w:val="false"/>
          <w:i w:val="false"/>
          <w:color w:val="000000"/>
          <w:sz w:val="28"/>
        </w:rPr>
        <w:t xml:space="preserve">+ </w:t>
      </w:r>
    </w:p>
    <w:bookmarkEnd w:id="71"/>
    <w:p>
      <w:pPr>
        <w:spacing w:after="0"/>
        <w:ind w:left="0"/>
        <w:jc w:val="both"/>
      </w:pPr>
      <w:r>
        <w:drawing>
          <wp:inline distT="0" distB="0" distL="0" distR="0">
            <wp:extent cx="177800" cy="342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78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, где,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Z</w:t>
      </w:r>
      <w:r>
        <w:rPr>
          <w:rFonts w:ascii="Times New Roman"/>
          <w:b w:val="false"/>
          <w:i w:val="false"/>
          <w:color w:val="000000"/>
          <w:vertAlign w:val="subscript"/>
        </w:rPr>
        <w:t>n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предельный объем стационарной помощи (за исключением случаев инфекционных заболеваний, психических расстройств и туберкулеза) для региона "n", утверждаемый уполномоченным органом в области здравоохранения.</w:t>
      </w:r>
    </w:p>
    <w:bookmarkEnd w:id="72"/>
    <w:bookmarkStart w:name="z7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X</w:t>
      </w:r>
      <w:r>
        <w:rPr>
          <w:rFonts w:ascii="Times New Roman"/>
          <w:b w:val="false"/>
          <w:i w:val="false"/>
          <w:color w:val="000000"/>
          <w:vertAlign w:val="subscript"/>
        </w:rPr>
        <w:t>n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лимиты стационарозамещающей помощи (за исключением случаев инфекционных заболеваний, психических расстройств и туберкулеза) для региона "n", утверждаемый уполномоченным органом в области здравоохранения.</w:t>
      </w:r>
    </w:p>
    <w:bookmarkEnd w:id="73"/>
    <w:bookmarkStart w:name="z7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T</w:t>
      </w:r>
      <w:r>
        <w:rPr>
          <w:rFonts w:ascii="Times New Roman"/>
          <w:b w:val="false"/>
          <w:i w:val="false"/>
          <w:color w:val="000000"/>
          <w:vertAlign w:val="subscript"/>
        </w:rPr>
        <w:t>n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объем средств, выплачиваемый на 1 предельный объем стационарной помощи (за исключением случаев инфекционных заболеваний, психических расстройств и туберкулеза) для региона "n";</w:t>
      </w:r>
    </w:p>
    <w:bookmarkEnd w:id="74"/>
    <w:bookmarkStart w:name="z7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Шаг 5: P</w:t>
      </w:r>
      <w:r>
        <w:rPr>
          <w:rFonts w:ascii="Times New Roman"/>
          <w:b w:val="false"/>
          <w:i w:val="false"/>
          <w:color w:val="000000"/>
          <w:vertAlign w:val="subscript"/>
        </w:rPr>
        <w:t>n</w:t>
      </w:r>
      <w:r>
        <w:rPr>
          <w:rFonts w:ascii="Times New Roman"/>
          <w:b w:val="false"/>
          <w:i w:val="false"/>
          <w:color w:val="000000"/>
          <w:sz w:val="28"/>
        </w:rPr>
        <w:t xml:space="preserve">= </w:t>
      </w:r>
    </w:p>
    <w:bookmarkEnd w:id="75"/>
    <w:p>
      <w:pPr>
        <w:spacing w:after="0"/>
        <w:ind w:left="0"/>
        <w:jc w:val="both"/>
      </w:pPr>
      <w:r>
        <w:drawing>
          <wp:inline distT="0" distB="0" distL="0" distR="0">
            <wp:extent cx="177800" cy="342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778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, где,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P</w:t>
      </w:r>
      <w:r>
        <w:rPr>
          <w:rFonts w:ascii="Times New Roman"/>
          <w:b w:val="false"/>
          <w:i w:val="false"/>
          <w:color w:val="000000"/>
          <w:vertAlign w:val="subscript"/>
        </w:rPr>
        <w:t>n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объем средств, выплачиваемый на 1 лимит стационарозамещающей помощи (за исключением случаев инфекционных заболеваний, психических расстройств и туберкулеза) для региона "n".</w:t>
      </w:r>
    </w:p>
    <w:bookmarkEnd w:id="76"/>
    <w:bookmarkStart w:name="z8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T</w:t>
      </w:r>
      <w:r>
        <w:rPr>
          <w:rFonts w:ascii="Times New Roman"/>
          <w:b w:val="false"/>
          <w:i w:val="false"/>
          <w:color w:val="000000"/>
          <w:vertAlign w:val="subscript"/>
        </w:rPr>
        <w:t>n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объем средств, выплачиваемый на 1 предельный объем стационарной помощи (за исключением случаев инфекционных заболеваний, психических расстройств и туберкулеза) для региона "n".</w:t>
      </w:r>
    </w:p>
    <w:bookmarkEnd w:id="77"/>
    <w:bookmarkStart w:name="z82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Планирование затрат на медицинские услуги</w:t>
      </w:r>
    </w:p>
    <w:bookmarkEnd w:id="78"/>
    <w:bookmarkStart w:name="z8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Планирование затрат на медицинские услуги осуществляется на основе анализа и оценки деятельности системы здравоохранения в целом и организаций здравоохранения по следующим показателям:</w:t>
      </w:r>
    </w:p>
    <w:bookmarkEnd w:id="79"/>
    <w:bookmarkStart w:name="z8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объем медицинской помощи по видам (за 3-х летний период) в целом по региону и по каждой организации здравоохранения в отдельности;</w:t>
      </w:r>
    </w:p>
    <w:bookmarkEnd w:id="80"/>
    <w:bookmarkStart w:name="z8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койко-дней в стационаре, средняя продолжительность пребывания на койке, работа койки в разрезе организаций здравоохранения;</w:t>
      </w:r>
    </w:p>
    <w:bookmarkEnd w:id="81"/>
    <w:bookmarkStart w:name="z8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объемы медицинских услуг, оказанных за счет бюджетных средств и других источников, в том числе за счет платных услуг;</w:t>
      </w:r>
    </w:p>
    <w:bookmarkEnd w:id="82"/>
    <w:bookmarkStart w:name="z8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численность работающего персонала, уровень оплаты труда;</w:t>
      </w:r>
    </w:p>
    <w:bookmarkEnd w:id="83"/>
    <w:bookmarkStart w:name="z8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оснащенность оборудованием и их использование, обеспеченность мягким инвентарем и прочее, степень их износа;</w:t>
      </w:r>
    </w:p>
    <w:bookmarkEnd w:id="84"/>
    <w:bookmarkStart w:name="z8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состояние зданий и сооружений, необходимость в проведении текущего, капитального ремонта.</w:t>
      </w:r>
    </w:p>
    <w:bookmarkEnd w:id="85"/>
    <w:bookmarkStart w:name="z9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На основе анализа с учетом статистических данных и отраслевых справочников (справочник медицинских услуг; справочник операций и манипуляций; справочник медико-экономических тарифов; перечень лекарственных средств и изделий медицинского назначения), утвержденных уполномоченным органом в области здравоохранения определяются:</w:t>
      </w:r>
    </w:p>
    <w:bookmarkEnd w:id="86"/>
    <w:bookmarkStart w:name="z9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планируемый объем медицинской помощи, который должен быть оказан на уровне организаций ПМСП;</w:t>
      </w:r>
    </w:p>
    <w:bookmarkEnd w:id="87"/>
    <w:bookmarkStart w:name="z9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планируемое количество вызовов скорой медицинской помощи;</w:t>
      </w:r>
    </w:p>
    <w:bookmarkEnd w:id="88"/>
    <w:bookmarkStart w:name="z9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планируемое количество специализированных консультативных и диагностических услуг, в том числе стоматологических;</w:t>
      </w:r>
    </w:p>
    <w:bookmarkEnd w:id="89"/>
    <w:bookmarkStart w:name="z9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предельные объемы стационарной помощи (случаев госпитализации);</w:t>
      </w:r>
    </w:p>
    <w:bookmarkEnd w:id="90"/>
    <w:bookmarkStart w:name="z9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планируемое количество пролеченных случаев стационарозамещающей помощи;</w:t>
      </w:r>
    </w:p>
    <w:bookmarkEnd w:id="91"/>
    <w:bookmarkStart w:name="z9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осуществляется регулирование объемов медицинской помощи, оказываемых в рамках гарантированного объема бесплатной медицинской помощи.</w:t>
      </w:r>
    </w:p>
    <w:bookmarkEnd w:id="92"/>
    <w:bookmarkStart w:name="z97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Формирования дополнительного компонента к тарифу</w:t>
      </w:r>
      <w:r>
        <w:br/>
      </w:r>
      <w:r>
        <w:rPr>
          <w:rFonts w:ascii="Times New Roman"/>
          <w:b/>
          <w:i w:val="false"/>
          <w:color w:val="000000"/>
        </w:rPr>
        <w:t>первичной медико-санитарной помощи</w:t>
      </w:r>
    </w:p>
    <w:bookmarkEnd w:id="93"/>
    <w:bookmarkStart w:name="z99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Система планирования затрат на оказание ПМСП направлена на выполнение следующих задач:</w:t>
      </w:r>
    </w:p>
    <w:bookmarkEnd w:id="94"/>
    <w:bookmarkStart w:name="z100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определение стимулирующей составляющей подушевого норматива для финансирования организаций ПМСП за достигнутые результаты, направляемые на материальное поощрение медицинских работников;</w:t>
      </w:r>
    </w:p>
    <w:bookmarkEnd w:id="95"/>
    <w:bookmarkStart w:name="z101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повышение квалификации медицинских работников ПМСП;</w:t>
      </w:r>
    </w:p>
    <w:bookmarkEnd w:id="96"/>
    <w:bookmarkStart w:name="z102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совершенствование системы внутреннего менеджмента и мотивации сотрудников, что в свою очередь повлияет на повышение качества оказываемых услуг и создание более эффективной организационной структуры организаций ПМСП.</w:t>
      </w:r>
    </w:p>
    <w:bookmarkEnd w:id="97"/>
    <w:bookmarkStart w:name="z103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Основными принципами построения системы подушевого финансирования с элементами оплаты по результатам деятельности являются:</w:t>
      </w:r>
    </w:p>
    <w:bookmarkEnd w:id="98"/>
    <w:bookmarkStart w:name="z104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взаимосвязь стимулов и возможностей организаций ПМСП, направленная на результат и процесс;</w:t>
      </w:r>
    </w:p>
    <w:bookmarkEnd w:id="99"/>
    <w:bookmarkStart w:name="z105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гарантированные выплаты организациям ПМСП на покрытие текущих расходов в рамках предоставления гарантированного объема медицинской помощи, а также и дополнительные стимулирующие выплаты за достигнутые (качественные) результаты работы;</w:t>
      </w:r>
    </w:p>
    <w:bookmarkEnd w:id="100"/>
    <w:bookmarkStart w:name="z106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охват всех организаций ПМСП, работающих по принципу смешанного приема или общей врачебной практики;</w:t>
      </w:r>
    </w:p>
    <w:bookmarkEnd w:id="101"/>
    <w:bookmarkStart w:name="z107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результаты деятельности организаций (качество и эффективность) должны оцениваться через систему специально установленных индикаторов, соответствующих определенным критериям. Оценка индикаторов должна проводиться периодически и по итогам оценки должны начисляться и производиться выплаты организациям. Система индикаторов и их оценка должны быть связанны с системой мониторинга деятельности ПМСП и информационными системами.</w:t>
      </w:r>
    </w:p>
    <w:bookmarkEnd w:id="102"/>
    <w:bookmarkStart w:name="z108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Дополнительный компонент к тарифу на оказание первичной медико-санитарной помощи – дополнительная составляющая к тарифу первичной медико-санитарной помощи, учитывающая результаты деятельности организации первичной медико-санитарной помощи.</w:t>
      </w:r>
    </w:p>
    <w:bookmarkEnd w:id="103"/>
    <w:bookmarkStart w:name="z109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Индикаторы, отражающие приоритетные направления развития ПМСП и соответственно деятельности организаций, через которые административно-бюджетные программы (далее – АБП) будут производить оценку качества и эффективности деятельности организаций ПМСП, устанавливает Министерство здравоохранения Республики Казахстан (далее - Министерство).</w:t>
      </w:r>
    </w:p>
    <w:bookmarkEnd w:id="104"/>
    <w:bookmarkStart w:name="z110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Бюджет организаций ПМСП складывается из гарантированной части финансирования, покрывающей текущие затраты на предоставление гарантированного объема ПМСП прикрепленному населению, и переменной стимулирующей части, размер которой будет зависеть от результатов работы, оцененных через систему установленных индикаторов.</w:t>
      </w:r>
    </w:p>
    <w:bookmarkEnd w:id="105"/>
    <w:bookmarkStart w:name="z111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Разработка системы дополнительного компонента к тарифу ПМСП строится на определении правил и процедур для каждого из следующих параметров системы:</w:t>
      </w:r>
    </w:p>
    <w:bookmarkEnd w:id="106"/>
    <w:bookmarkStart w:name="z112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составляющие финансирования:</w:t>
      </w:r>
    </w:p>
    <w:bookmarkEnd w:id="107"/>
    <w:bookmarkStart w:name="z113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общего объема финансирования и его распределение на базовый и стимулирующий объемы, включающие затраты на повышение квалификации и стимулирование труда с учетом дифференцированной оплаты;</w:t>
      </w:r>
    </w:p>
    <w:bookmarkEnd w:id="108"/>
    <w:bookmarkStart w:name="z114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индикаторы деятельности поставщиков ПМСП для стимулирующей составляющей:</w:t>
      </w:r>
    </w:p>
    <w:bookmarkEnd w:id="109"/>
    <w:bookmarkStart w:name="z115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установление критериев отбора индикаторов;</w:t>
      </w:r>
    </w:p>
    <w:bookmarkEnd w:id="110"/>
    <w:bookmarkStart w:name="z116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оптимального количества приоритетных индикаторов;</w:t>
      </w:r>
    </w:p>
    <w:bookmarkEnd w:id="111"/>
    <w:bookmarkStart w:name="z117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установление периодичности и правил пересмотра индикаторов;</w:t>
      </w:r>
    </w:p>
    <w:bookmarkEnd w:id="112"/>
    <w:bookmarkStart w:name="z118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оценка индикаторов и определение размера стимулирующих выплат для каждого поставщика ПМСП:</w:t>
      </w:r>
    </w:p>
    <w:bookmarkEnd w:id="113"/>
    <w:bookmarkStart w:name="z119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систематизация сбора и обработки необходимых данных по индикаторам;</w:t>
      </w:r>
    </w:p>
    <w:bookmarkEnd w:id="114"/>
    <w:bookmarkStart w:name="z120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правил оценки индикаторов и установления размеров выплат на основании оценки индикаторов;</w:t>
      </w:r>
    </w:p>
    <w:bookmarkEnd w:id="115"/>
    <w:bookmarkStart w:name="z121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установление периодичности предоставления поставщикам ПМСП отчетов по результатам оценки индикаторов;</w:t>
      </w:r>
    </w:p>
    <w:bookmarkEnd w:id="116"/>
    <w:bookmarkStart w:name="z122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выплаты:</w:t>
      </w:r>
    </w:p>
    <w:bookmarkEnd w:id="117"/>
    <w:bookmarkStart w:name="z123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установление периодичности выплат стимулирующей составляющей и приоритетных направлений использования средств;</w:t>
      </w:r>
    </w:p>
    <w:bookmarkEnd w:id="118"/>
    <w:bookmarkStart w:name="z124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принятие управленческих решений (ПМСП и АБП).</w:t>
      </w:r>
    </w:p>
    <w:bookmarkEnd w:id="119"/>
    <w:bookmarkStart w:name="z125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Индикаторы оценки достигнутых результатов работы организации ПМСП и определение размера выплат по стимулирующей составляющей проводится ежеквартально (Приложение 2).</w:t>
      </w:r>
    </w:p>
    <w:bookmarkEnd w:id="120"/>
    <w:bookmarkStart w:name="z126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Система оценки индикаторов строится на оценке сравнительных данных настоящего с предыдущим годами. Такой подход позволяет оценить, что в настоящее время добивается система региона в целом, и каков вклад каждой организации. На основании системы оценки индикаторов определяются размеры стимулирующих выплат для организаций ПМСП в соответствии с достижением тех или иных значений по индикаторам.</w:t>
      </w:r>
    </w:p>
    <w:bookmarkEnd w:id="121"/>
    <w:bookmarkStart w:name="z127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На основании оценки индикаторов составляются ежеквартальные отчеты и производится условная оценка деятельности ПМСП в целом и условное ранжирование организаций ПМСП (относительно хорошо и относительно слабо работающие). Данная информация используется на уровне Покупателя и Поставщиков ПМСП для принятия управленческих решений и помогает определить приоритетные направления для усовершенствования, как отдельных организаций ПМСП, так и системы в целом.</w:t>
      </w:r>
    </w:p>
    <w:bookmarkEnd w:id="122"/>
    <w:bookmarkStart w:name="z128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Органы управления здравоохранения областей, городов Астаны, Алматы осуществляют экспертную оценку сложившихся уровней средних величин по каждому индикатору и определяют меры, направленные на достижение оптимальных средних величин.</w:t>
      </w:r>
    </w:p>
    <w:bookmarkEnd w:id="123"/>
    <w:bookmarkStart w:name="z129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Комиссией по оценке результатов и начислению выплат администраторами бюджетных программ окончательно утверждаются размеры стимулирующей составляющей организациям ПМСП за отчетный период (квартал).</w:t>
      </w:r>
    </w:p>
    <w:bookmarkEnd w:id="124"/>
    <w:bookmarkStart w:name="z130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Администраторы бюджетных программ производят стимулирующие выплаты в соответствии с бюджетным законодательством Республики Казахстан.</w:t>
      </w:r>
    </w:p>
    <w:bookmarkEnd w:id="125"/>
    <w:bookmarkStart w:name="z131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Для достижения максимального управляющего воздействия рекомендуется стимулирующие выплаты направлять на премирование сотрудников организаций ПМСП в соответствии с условиями Трудового Кодекса и коллективного договора.</w:t>
      </w:r>
    </w:p>
    <w:bookmarkEnd w:id="126"/>
    <w:bookmarkStart w:name="z132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Внедрение системы подушевого финансирования ПМСП с дополнительным компонентом к тарифу предполагает расширение роли и функций организаций, вовлеченных в данный процесс.</w:t>
      </w:r>
    </w:p>
    <w:bookmarkEnd w:id="127"/>
    <w:bookmarkStart w:name="z133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Распределение основных функций и полномочий осуществляется следующим образом:</w:t>
      </w:r>
    </w:p>
    <w:bookmarkEnd w:id="128"/>
    <w:bookmarkStart w:name="z134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Министерство осуществляет:</w:t>
      </w:r>
    </w:p>
    <w:bookmarkEnd w:id="129"/>
    <w:bookmarkStart w:name="z135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общее управление при формировании системы дополнительного компонента к тарифу ПМСП;</w:t>
      </w:r>
    </w:p>
    <w:bookmarkEnd w:id="130"/>
    <w:bookmarkStart w:name="z136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нормативно-правовое регулирование: периодическое усовершенствование модели дополнительного компонента к тарифу ПМСП;</w:t>
      </w:r>
    </w:p>
    <w:bookmarkEnd w:id="131"/>
    <w:bookmarkStart w:name="z137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вопросов внутри секторальной координации;</w:t>
      </w:r>
    </w:p>
    <w:bookmarkEnd w:id="132"/>
    <w:bookmarkStart w:name="z138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администраторы бюджетных программ осуществляют:</w:t>
      </w:r>
    </w:p>
    <w:bookmarkEnd w:id="133"/>
    <w:bookmarkStart w:name="z139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внедрение системы дополнительного компонента к тарифу ПМСП на уровне региона;</w:t>
      </w:r>
    </w:p>
    <w:bookmarkEnd w:id="134"/>
    <w:bookmarkStart w:name="z140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 координацию деятельностью участников системы на уровне региона;</w:t>
      </w:r>
    </w:p>
    <w:bookmarkEnd w:id="135"/>
    <w:bookmarkStart w:name="z141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учреждение Комиссии по оценке результатов и начислению выплат;</w:t>
      </w:r>
    </w:p>
    <w:bookmarkEnd w:id="136"/>
    <w:bookmarkStart w:name="z142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внедрение единых информационных систем;</w:t>
      </w:r>
    </w:p>
    <w:bookmarkEnd w:id="137"/>
    <w:bookmarkStart w:name="z143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мониторинга внедрения и анализ системы;</w:t>
      </w:r>
    </w:p>
    <w:bookmarkEnd w:id="138"/>
    <w:bookmarkStart w:name="z144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рекомендаций по усовершенствованию системы и внесение предложений Министерству;</w:t>
      </w:r>
    </w:p>
    <w:bookmarkEnd w:id="139"/>
    <w:bookmarkStart w:name="z145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организации ПМСП осуществляют:</w:t>
      </w:r>
    </w:p>
    <w:bookmarkEnd w:id="140"/>
    <w:bookmarkStart w:name="z146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основную деятельность в рамках оказания ГОБМП;</w:t>
      </w:r>
    </w:p>
    <w:bookmarkEnd w:id="141"/>
    <w:bookmarkStart w:name="z147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внедрение информационных систем в рамках единой информационной системы здравоохранения;</w:t>
      </w:r>
    </w:p>
    <w:bookmarkEnd w:id="142"/>
    <w:bookmarkStart w:name="z148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принятие управленческих решений и совершенствование системы непрерывного повышения качества медицинских услуг;</w:t>
      </w:r>
    </w:p>
    <w:bookmarkEnd w:id="143"/>
    <w:bookmarkStart w:name="z149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эффективное управление и использование средств по гарантированным и стимулирующим выплатам;</w:t>
      </w:r>
    </w:p>
    <w:bookmarkEnd w:id="144"/>
    <w:bookmarkStart w:name="z150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предоставление необходимой отчетности;</w:t>
      </w:r>
    </w:p>
    <w:bookmarkEnd w:id="145"/>
    <w:bookmarkStart w:name="z151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комиссии по оценке результатов и начислению выплат осуществляют:</w:t>
      </w:r>
    </w:p>
    <w:bookmarkEnd w:id="146"/>
    <w:bookmarkStart w:name="z152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рассмотрение и утверждение результатов системы мониторинга и оценки индикаторов;</w:t>
      </w:r>
    </w:p>
    <w:bookmarkEnd w:id="147"/>
    <w:bookmarkStart w:name="z153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и утверждение размера выплат по стимулирующей составляющей для каждой организации на основании оценки индикаторов за отчетный период;</w:t>
      </w:r>
    </w:p>
    <w:bookmarkEnd w:id="148"/>
    <w:bookmarkStart w:name="z154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за выплатами;</w:t>
      </w:r>
    </w:p>
    <w:bookmarkEnd w:id="149"/>
    <w:bookmarkStart w:name="z155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рассмотрение обращений организаций ПМСП по спорным вопросам.</w:t>
      </w:r>
    </w:p>
    <w:bookmarkEnd w:id="150"/>
    <w:bookmarkStart w:name="z156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Определение стимулирующего компонента подушевого норматива организаций ПМСП производится по следующим процессам:</w:t>
      </w:r>
    </w:p>
    <w:bookmarkEnd w:id="151"/>
    <w:bookmarkStart w:name="z157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определение интегрированного показателя значений индикаторов каждой организации ПМСП в баллах;</w:t>
      </w:r>
    </w:p>
    <w:bookmarkEnd w:id="152"/>
    <w:bookmarkStart w:name="z158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определение суммы стимулирующей надбавки для каждой организации ПМСП в тенге.</w:t>
      </w:r>
    </w:p>
    <w:bookmarkEnd w:id="153"/>
    <w:bookmarkStart w:name="z159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1: Определение интегрированного показателя значений индикаторов каждой организации в баллах:</w:t>
      </w:r>
    </w:p>
    <w:bookmarkEnd w:id="154"/>
    <w:bookmarkStart w:name="z160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конкретному индикатору определяется значение предыдущего и текущего отчетных периодов в деятельности организации ПМСП - (Ип; Ио);</w:t>
      </w:r>
    </w:p>
    <w:bookmarkEnd w:id="155"/>
    <w:bookmarkStart w:name="z161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определяется фактическое отклонение показателя индикатора за текущий период от показателя индикатора за предыдущий период:</w:t>
      </w:r>
    </w:p>
    <w:bookmarkEnd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 = (Ип-Ит)/Ип,</w:t>
      </w:r>
    </w:p>
    <w:bookmarkStart w:name="z162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если значение индикатора рассчитано на снижение в динамике,</w:t>
      </w:r>
    </w:p>
    <w:bookmarkEnd w:id="157"/>
    <w:bookmarkStart w:name="z163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если показатель по нормативу должен быть увеличен по сравнению с предыдущим, в числителе применяется разница между значением индикатора за текущий период и его значением за предыдущий период (Ит-Ип), в знаменателе используется значение индикатора за текущий период;</w:t>
      </w:r>
    </w:p>
    <w:bookmarkEnd w:id="158"/>
    <w:bookmarkStart w:name="z164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3) определяется отклонение индикатора (ОИ) по сравнению с нормативом отклонения (ОН) и с учетом весового коэффициента каждого индикатора (ВК) (нормы отклонения – ОН, весовые коэффициенты (ВК):</w:t>
      </w:r>
    </w:p>
    <w:bookmarkEnd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ОИ = ФО-ОН</w:t>
      </w:r>
    </w:p>
    <w:bookmarkStart w:name="z165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4) вычисляется приведенный показатель индикатора за текущий период как сумма 1 и отклонения по сравнению с нормативом за текущий период с учетом коэффициента веса индикатора:</w:t>
      </w:r>
    </w:p>
    <w:bookmarkEnd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ППИ = (1+ОИ/100)*ВК</w:t>
      </w:r>
    </w:p>
    <w:bookmarkStart w:name="z166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5) повторяются описанные шаги 1-4 для всех индикаторов в целом для медицинской организации;</w:t>
      </w:r>
    </w:p>
    <w:bookmarkEnd w:id="161"/>
    <w:bookmarkStart w:name="z167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6) суммируются значения приведенных показателей индикаторов по МО, тем самым получаем суммарный показатель МО:</w:t>
      </w:r>
    </w:p>
    <w:bookmarkEnd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 =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04800" cy="444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44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ППИ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8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2: Определение суммы стимулирующей надбавки для каждой организации ПМСП в тенге:</w:t>
      </w:r>
    </w:p>
    <w:bookmarkEnd w:id="163"/>
    <w:bookmarkStart w:name="z169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суммируются величины суммарных показателей по всем МО:</w:t>
      </w:r>
    </w:p>
    <w:bookmarkEnd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SСП =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04800" cy="444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44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СП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0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вычисляется величина нормы ставки вознаграждения (далее - НСВ) за текущий период путем деления запланированной суммы вознаграждения (Ф) на текущий период на сумму величин суммарных показателей:</w:t>
      </w:r>
    </w:p>
    <w:bookmarkEnd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НСВ = Ф/SСП</w:t>
      </w:r>
    </w:p>
    <w:bookmarkStart w:name="z171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3) вычисляется величина стимулирующей надбавки по каждой МО путем умножения величины суммарного показателя по каждой МО на норму ставки вознаграждения:</w:t>
      </w:r>
    </w:p>
    <w:bookmarkEnd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СН = СП*НСВ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формирования тарифов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планирования затрат на медицинские услуги,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оказываемые в рамках гарантированного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объема бесплатной медицинской помощи</w:t>
            </w:r>
          </w:p>
        </w:tc>
      </w:tr>
    </w:tbl>
    <w:bookmarkStart w:name="z173" w:id="1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Половозрастные поправочные коэффициенты</w:t>
      </w:r>
    </w:p>
    <w:bookmarkEnd w:id="1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Мужчины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Женщины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0-12 месяцев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месяцев - 4 года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5-9 лет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10-14 лет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15-19 лет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20-29 лет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30-39 лет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40-49 лет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50-59 лет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60-69 лет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и старше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формирования тарифов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планирования затрат на медицинские услуги,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оказываемые в рамках гарантированного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объема бесплатной медицинской помощи</w:t>
            </w:r>
          </w:p>
        </w:tc>
      </w:tr>
    </w:tbl>
    <w:bookmarkStart w:name="z175" w:id="1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Индикаторы оценки достигнутых результатов работы</w:t>
      </w:r>
      <w:r>
        <w:br/>
      </w:r>
      <w:r>
        <w:rPr>
          <w:rFonts w:ascii="Times New Roman"/>
          <w:b/>
          <w:i w:val="false"/>
          <w:color w:val="000000"/>
        </w:rPr>
        <w:t>организаций ПМСП</w:t>
      </w:r>
    </w:p>
    <w:bookmarkEnd w:id="1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Формула расчета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сколько считать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Делимое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Делитель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вес случаев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материнской смертности,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предотвратимых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ПМСП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случаев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материнской смерти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среди прикрепленных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жителей 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предотвратимых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подтвержденных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экспертно за отчетный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прикрепленных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женщин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фертильного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далее ЖФВ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100 ЖФВ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Случаи беременности ЖФВ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ЭГП, которым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абсолютно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противопоказана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беременность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случаев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госпитализированных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беременных ЖФВ с ЭГП,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которым абсолютно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противопоказана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беременность, среди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прикрепленных жителей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госпитализи-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беременных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прикрепленных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100 ЖФВ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Случаи подростковой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беременности (15-18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случаев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госпитализации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подростковой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беременности (15-18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лет) среди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прикрепленного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в отчетном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госпитализи-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беременных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возрасте 15-18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 среди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прикрепленных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жителей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предыдущем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отчетным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подростков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Случаи выполненных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абортов в возрасте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15-18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абортов 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подростков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возрасте 15-18 лет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среди прикрепленного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в отчетном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абортов 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подростков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возрасте 15-18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 среди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прикрепленного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предыдущем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отчетным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подростков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принципа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регионализации (по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данным круглосуточного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случаи госпитализиций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беременных и рожениц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несоблюдением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принципа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регионализации среди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прикрепленного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случаев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госпитализа-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ции беременных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роженниц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прикрепленного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абортов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отношению к родам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количество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случаев абортов среди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прикрепленного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родов среди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прикрепленных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ЖФВ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2**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Детская смертность от 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дней до 5 лет,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предотвратимая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ПМСП (ОКИ ОРИ,)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детской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смертности в возрасте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7 дней до 5 лет,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предотвратимая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ПМСП (ОКИ ОРИ)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возрасте от 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дней до 5 лет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прикрепленного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запущенных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случаев среди впервые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выявленных больных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туберкулезом легких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запушенных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случаев у впервые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туберкулезом легких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среди прикрепленного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впервые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случаев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легких среди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прикрепленного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100 %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впервые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выявленных случаев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диагнозом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новообразования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визуальной локализаций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 стадии среди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прикрепленного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впервые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выявленных случаев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диагнозом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новообразования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визуальной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локализаций 3-4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стадии среди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прикрепленного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всех впервые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случаев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диагнозом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ново-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визуальной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локализаций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прикрепленного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100 %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госпитализации с осложнениями заболеваний, управляемых на уровне ПМСП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госпитализации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больных из числа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прикрепленного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госпитализированных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осложнениями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сердечно-сосудистой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артериальная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гипертензия;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инфаркт миокарда;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инсульт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пролеченных больных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числа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прикрепленного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осложнениями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сердечно-сосудистой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артериальная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гипертензия;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инфаркт миокарда;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инсульт* 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пролеченных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больных из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прикрепленного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заболеваниями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сердечно-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сосудистой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артериальная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гипертензия;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инфаркт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миокарда;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инсульт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100 %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госпитализации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больных из числа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прикрепленного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госпитализированных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осложнениями сахарного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диабета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пролеченных больных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числа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прикрепленного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осложнениями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сахарного диабета*100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пролеченных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больных из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прикрепленного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диабетом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100 %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вес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госпитализации больных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числа прикрепленного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астматическим синдромом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числа прикрепленного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пролеченных больных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астматическим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синдромом из числа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прикрепленного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населения*100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пролеченных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больных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астмой из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прикрепленного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100 %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вес экстренной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госпитализации больных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числа прикрепленного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с пневмонией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бронхитом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пролеченных больных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числа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прикрепленного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населения, экстренно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госпитализированных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пневмонией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бронхитом*100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пролеченных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больных из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прикрепленного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пневмонией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бронхитом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100 %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вес беременных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числа прикрепленного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госпитализированных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эклампсией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пролеченных случаев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экслампсией из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числа прикрепленного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населения*100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всех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пролеченных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случаев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беременных из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прикрепленного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100 %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расхождений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направительного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заключительного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диагнозов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случаев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расхождений диагнозов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среди пролеченных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больных, направленных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организацией ПМСП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заключительного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клинического диагноза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пролеченных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случаев из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прикрепленного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100 %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снижения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госпитализаций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экстренным показаниям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госпитализаций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экстренным показаниям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среди прикрепленного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за отчетный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*100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пролеченных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случаев из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прикрепленного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100 %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количество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обоснованных жалоб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сравнению с предыдущим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отчетным периодом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обоснованных жалоб 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отчетный период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жалоб 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предыдущий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9.***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госпитализации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больных старше 70 лет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числа прикрепленного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госпитализированных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независимо от источника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направления (определить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диагнозы)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пролеченных больных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числа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прикрепленного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старше 70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лет*100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пролеченных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больных из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прикрепленного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старше 70 лет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отчетный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100 %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данных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Пороговое значение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МО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Периодичность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(раз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квартал, год)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числитель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знаменатель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 смерти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2009/у-02 (приказ 665 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22.12.2008), подтвержденный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ТД ККМФД о предотвратимости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уровне ПМСП.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Данные стат.управления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Регистр прикрепленного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ПО Регистр беременной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тально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№066/у – (ККМФД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определить коды МКБ-10 ЭПГ,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которых абсолютно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противопоказана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беременность)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№ 066/у (МКБ-10: кл O)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Регистр беременной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тально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№ 066/у – данные 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беременности среди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подростков в возрасте 15-18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№ 066/у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Регистр беременной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Уменьшение значения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настоящего периода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сравнению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предыдущим на 5 %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тально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№ 066/у – данные 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беременности среди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подростков в возрасте 15-18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№ 066/у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Регистр беременной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Уменьшение значения показателя настоящего периода по сравнению с предыдущим на 5 %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тально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№ 066/у (МКБ-10: O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указанием родоразрешения)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необходимо расширить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1 к 066/у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указанием принципа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регионализации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№ 066/у (МКБ-10: O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указанием родоразрешения)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Регистр беременной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Уменьшение значения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настоящего периода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сравнению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предыдущим на 5 %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тально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№ 066/у (МКБ-10: O 02-07)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№ 066/у (МКБ-10: роды)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Уменьшение значения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настоящего периода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сравнению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предыдущим на 5 %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тально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2**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Факт смерти из ф.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2009/у-01 (приказ 665 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22.12.2008) расширенная до 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лет, по определенным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причинам смерти (ТДККМФД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определить коды смертельных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исходов при ОКИ ОРИ,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предотвратимых на уровне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ПМСП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Данные статуправления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Регистр прикрепленного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Данные ККМФД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Уменьшение значения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настоящего периода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сравнению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предыдущим на 5 %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тально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ТубРегистр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ТубРегистр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Уменьшение значения показателя настоящего периода по сравнению с предыдущим на 5 %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тально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ОнкоРегистр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ОнкоРегистр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Уменьшение значения показателя настоящего периода по сравнению с предыдущим на 5 %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тально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госпитализации с осложнениями заболеваний, управляемых на уровне ПМСП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№ 066/у (МКБ-10: I10-I13,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I20-I21.4, I60-I66.9)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№ 066/у (МКБ-10: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I)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Уменьшение значения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настоящего периода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сравнению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предыдущим на 10 %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тально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№ 066/у (Е10 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исключением Е10.9, Е11 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исключением Е11.9)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№ 066/у (Е10, Е11)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Уменьшение значения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настоящего периода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сравнению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предыдущим на 10 %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тально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№ 066/у (МКБ-10: 45.0,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J45.1, J46)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№ 066/у (МКБ-10: J45,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J46)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Уменьшение значения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настоящего периода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сравнению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предыдущим на 10 %.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тально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№ 066/у (МКБ-10: J12-J16,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J18, J40-J43) экстренный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№ 066/у (МКБ-10: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J12-J16, J18, J40-J43)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типы госпитализации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Уменьшение значения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настоящего периода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сравнению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предыдущим на 5 %.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тально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№ 066/у (МКБ-10: O15)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№ 066/у (МКБ-10: O)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Уменьшение значения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настоящего периода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сравнению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предыдущим на 10 %.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тально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 066/у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 066/у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Уменьшение значения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настоящего периода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сравнению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предыдущим на 10 %.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тально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 066/у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 066/у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Уменьшение значения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настоящего периода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сравнению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предыдущим на 5 %.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тально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СУКМУ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Уменьшение значения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настоящего периода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сравнению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предыдущим на 5 %.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тально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9***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Ф066/у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Ф066/у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Уменьшение значения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настоящего периода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сравнению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предыдущим на 1 %.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тально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9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(Примечание к индикатору 1.1.)</w:t>
      </w:r>
    </w:p>
    <w:bookmarkEnd w:id="169"/>
    <w:bookmarkStart w:name="z180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кодов МКБ 10 для заболеваний, при которых абсолютно</w:t>
      </w:r>
    </w:p>
    <w:bookmarkEnd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противопоказана беременность, учитываемый при расчете данного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индикатора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МКБ 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болезней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А15, А16, А17, А18, А19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формы активного легочного и внелегочного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туберкулезного процесса с осложнениями,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множественной (МЛУ) и широкой лекарственной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устойчивостью (ШЛУ) или в сочетании с сахарным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диабетом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С00-С97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 настоящем злокачественного новообразования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всех локализаций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D60-D61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апластическая анемия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D65, D68.2-9, D69.1, D69.6-9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часто рецидивирующие или тяжело протекающие пурпура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геморрагические состояния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F01-F03, F05.1, F06.0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органические, включая симптоматические, психические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расстройства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F10.5-7, F11.5-7, F12.5-7, F13.5-7, F14.5-7, F15.5-7, F16.5-7, F17.5-7, F18.5-7, F19.5-7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психические расстройства и расстройства поведения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связанные с употреблением психоактивных веществ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F20.0-2, F22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шизофрения, шизотипические и бредовые расстройства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F71-F73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умственная отсталость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G40-G41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эпилепсия с развитием психических нарушений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цистицеркоз, наследственные нервно-мышечные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G30-G32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дегенеративные заболевания ЦНС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G12.2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 двигательного нейрона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рассеянный склероз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демиелинизирующие заболевания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G70, G73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миастения и миастенические синдромы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G61.0, G61.8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острые (Гийена-Барре) и хронические воспалительные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демиелинизирующие заболевания, нарколепсия,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каталепсия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неврит зрительного нерва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Н47.0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ишемическая двухсторонняя нейропатия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Н36.0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рецидивирующий гемофтальм на фоне диабетической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ретинопатии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H35.0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рецидивирующий гемофтальм на фоне гипертонической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ретинопатии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I01.0-2, I01.8-9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острая ревматическая лихорадка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I50.0-1, I50.9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врожденные и приобретенные пороки сердца,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осложнившиеся хронической сердечной недостаточностью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III-IV ст. по NYHA и/или жизнеугрожающими нарушениями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ритма и проводимости сердца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I11.0, I12.0, I13.0-2, I13.9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гипертоническая болезнь, II-III ст. и злокачественное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течение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I25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ишемическая болезнь сердца, не корригированная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(консервативными или хирургическими методами)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I27.0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первичная легочная гипертензия с развитием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сердечно-легочной недостаточности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I33.0, I33.9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острый и подострый эндокардит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I40, I42, I46, I49, I50.0-1, I50.9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миокардиты, кардиомиопатии, осложненные хронической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сердечной недостаточностью III-IV по NYHA, после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протезирования клапанов сердца с признаками сердечной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недостаточности III-IV по NYHA и/или жизнеугрожающими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нарушениями ритма и проводимости сердца 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хроническая сердечная недостаточность III-IV ст.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NYHA любой этиологии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I49, I46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жизнеугрожающие нарушения сердечного ритма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I71.0-9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аневризма и расслоение аорты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I01.0-2, I01.8, I01.9, I27.0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состояние после митральной комиссуротомии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возникновением рестеноза, сердечной недостаточностью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III-IV ст. по NYHA и/или жизнеугрожающими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нарушениеями сердечного ритма и проводимости,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наличием легочной гипертензии и обострения ревматизма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J45, J96.1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бронхиальная астма, тяжелое течение,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неконтролируемая, ДН III степени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J43.1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буллезная эмфизема, ДН III степени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Q33.6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кистозная гипоплазия легких, распространенная форма,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тяжелое течение, ДН III степени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бронхоэктатическая болезнь легких, ДН III степени,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лимфангиолейомиоматоз легких, ДН III степени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J84.9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идиопатический фиброзирующий альвеолит, ДН III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степени, первичная легочная гипертензия, ДН III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К22.2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сужение и стеноз пищевода, искусственный пищевод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 пищевода - ГЭРБ, осложненная язвой,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стриктурой, пищевод Баррета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К31.2, К31.5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 желудка и двенадцатиперстной кишки - язвенная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болезнь, осложненная кровотечением, стеноз после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хирургического лечения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К50.8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 Крона в стадии обострения (в стадии ремиссии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решать в индивидуальном порядке)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К71-2, К71.5, К71.7, К71.9, К74-6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острые и хронические заболевания печени в стадии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обострения, тяжелое течение; цирроз печени,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декомпенсированный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К86.1, К86.6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хронический панкреатит с выраженным нарушением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секреторной функции и синдромом нарушения всасывания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тяжелой степени (стадия фиброза)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острый гломерулонефрит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N08.3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диабетическая нефропатия IV, V ст.</w:t>
            </w:r>
          </w:p>
        </w:tc>
      </w:tr>
    </w:tbl>
    <w:bookmarkStart w:name="z176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(Примечание к индикатору 2)</w:t>
      </w:r>
    </w:p>
    <w:bookmarkEnd w:id="171"/>
    <w:bookmarkStart w:name="z177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кодов МКБ 10 для диагнозов детской смертности (от 7</w:t>
      </w:r>
    </w:p>
    <w:bookmarkEnd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дней до 5 лет) предотвратимой на уровне  ПМСП, учитываемый при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расчете данного индикатора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МКБ 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болезней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сальмонеллезные инфекции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Шигеллез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бактериальные кишечные инфекции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Вирусные и другие уточненные кишечные инфекции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Диарея и гастроэнтерит предположительно инфекционного происхождения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 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Острый назофарингит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Острый синусит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 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Острый фарингит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 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Острый тозиллит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 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Острый ларингит и трахеит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 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Острый обструктивный ларингит и эпиглотит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 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Острые инфекции верхних дыхательных путей множественной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неуточненной локализации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 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Вирусная пневмония, не классифицированная в других рубриках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 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Пневмония, вызванная Streptococcus pneumonie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 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Пневмония вызванная Haemephulus influenzae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(палочкой Афанасьева-Пфейффера)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 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Бактериальная пневмония, не классифицированная в других рубриках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 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Пневмония без уточнения возбудителя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 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Острый бронхит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 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Острый бронхиолит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 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Острая респираторная инфекция нижних дыхательных путей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 59.1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диарея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8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 (Примечание к индикатору 9) Перечень кодов МКБ 10 для</w:t>
      </w:r>
    </w:p>
    <w:bookmarkEnd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заболеваний, учитываемых при расчете данного индикатора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МКБ 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болезней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 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Железодефицитная анемия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 10-E 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Сахарный диабет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 50 - G64; G 70 - G 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 нервов, нервных корешков и сплетений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10 - I 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Артериальная гипертензия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Стенокардия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 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хронические обструктивные болезни легких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 15 – V 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Артрозы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10, N 12, Т 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Тубулоинтерстициальные болезни почек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0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header.xml" Type="http://schemas.openxmlformats.org/officeDocument/2006/relationships/header" Id="rId10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