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28ed" w14:textId="69c2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февраля 2011 года № 17. Зарегистрировано в Министерстве юстиции Республики Казахстан 11 апреля 2011 года № 6885. Утратило силу постановлением Правления Национального Банка Республики Казахстан от 29 апреля 2016 года № 115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февраля 2011 года "О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 и совершенствования нормативных правовых актов, регулирующих порядок государственной регистрации выпуска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29.02.2016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(зарегистрированное в Реестре государственной регистрации нормативных правовых актов под № 3822)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"Неотъемлемыми частями проспекта выпуска инфраструктурных облигаций являются копии концессионного договора и договора поручительства. К проспекту выпуска инфраструктурных облигаций, облигаций, оплата которых будет произведена правами требования по облигациям, ранее выпущенным данным эмитентом, срок обращения которых истек, а также ипотечных и иных обеспеченных облигаций прилагаются копии договоров с представителем держателей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w:t>
      </w:r>
      <w:r>
        <w:rPr>
          <w:rFonts w:ascii="Times New Roman"/>
          <w:b w:val="false"/>
          <w:i w:val="false"/>
          <w:color w:val="000000"/>
          <w:sz w:val="28"/>
        </w:rPr>
        <w:t xml:space="preserve"> после слов "(при обращении ранее выпущенных им облигаций на вторичном рынке ценных бумаг)," дополнить словами "облигаций, оплата которых будет произведена правами требования по облигациям, ранее выпущенным эмитентом, срок обращения которых истек,";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пункта 3 слова "облигаций, обеспеченных гарантией банка" заменить словами "ипотечных и иных обеспеченных облигаций";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В целях внесения изменений и дополнений в проспект выпуска облигаций (облигационной программы) в уполномоченный орган эмитентом представляются:</w:t>
      </w:r>
      <w:r>
        <w:br/>
      </w:r>
      <w:r>
        <w:rPr>
          <w:rFonts w:ascii="Times New Roman"/>
          <w:b w:val="false"/>
          <w:i w:val="false"/>
          <w:color w:val="000000"/>
          <w:sz w:val="28"/>
        </w:rPr>
        <w:t>
</w:t>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В случае внесения изменений в условия выпуска облигаций, предусмотренных подпунктами 4-2), 8), 9) пункта 1 </w:t>
      </w:r>
      <w:r>
        <w:rPr>
          <w:rFonts w:ascii="Times New Roman"/>
          <w:b w:val="false"/>
          <w:i w:val="false"/>
          <w:color w:val="000000"/>
          <w:sz w:val="28"/>
        </w:rPr>
        <w:t>статьи 9</w:t>
      </w:r>
      <w:r>
        <w:rPr>
          <w:rFonts w:ascii="Times New Roman"/>
          <w:b w:val="false"/>
          <w:i w:val="false"/>
          <w:color w:val="000000"/>
          <w:sz w:val="28"/>
        </w:rPr>
        <w:t xml:space="preserve"> Закона, в заявлении указывается следующая информация:</w:t>
      </w:r>
      <w:r>
        <w:br/>
      </w:r>
      <w:r>
        <w:rPr>
          <w:rFonts w:ascii="Times New Roman"/>
          <w:b w:val="false"/>
          <w:i w:val="false"/>
          <w:color w:val="000000"/>
          <w:sz w:val="28"/>
        </w:rPr>
        <w:t>
      о дате публикации информации о проведении общего собрания держателей облигаций в средствах массовой информации с указанием наименования средств массовой информации;</w:t>
      </w:r>
      <w:r>
        <w:br/>
      </w:r>
      <w:r>
        <w:rPr>
          <w:rFonts w:ascii="Times New Roman"/>
          <w:b w:val="false"/>
          <w:i w:val="false"/>
          <w:color w:val="000000"/>
          <w:sz w:val="28"/>
        </w:rPr>
        <w:t>
      о дате направления письменного извещения о проведении общего собрания держателей облигаций (в случае если количество держателей облигаций не превышает пятидесяти);</w:t>
      </w:r>
      <w:r>
        <w:br/>
      </w:r>
      <w:r>
        <w:rPr>
          <w:rFonts w:ascii="Times New Roman"/>
          <w:b w:val="false"/>
          <w:i w:val="false"/>
          <w:color w:val="000000"/>
          <w:sz w:val="28"/>
        </w:rPr>
        <w:t>
      о дате публикации решения общего собрания держателей облигаций в средствах массовой информации с указанием наименования средств массовой информации;</w:t>
      </w:r>
      <w:r>
        <w:br/>
      </w:r>
      <w:r>
        <w:rPr>
          <w:rFonts w:ascii="Times New Roman"/>
          <w:b w:val="false"/>
          <w:i w:val="false"/>
          <w:color w:val="000000"/>
          <w:sz w:val="28"/>
        </w:rPr>
        <w:t>
</w:t>
      </w:r>
      <w:r>
        <w:rPr>
          <w:rFonts w:ascii="Times New Roman"/>
          <w:b w:val="false"/>
          <w:i w:val="false"/>
          <w:color w:val="000000"/>
          <w:sz w:val="28"/>
        </w:rPr>
        <w:t>
      2) изменения и дополнения в проспект выпуска облигаций (облигационной программы) в двух экземплярах на государственном и русском языках на бумажном носителе, подписанные первым руководителем, главным бухгалтером, и заверенные оттиском печати эмитента. При этом каждый из двух экземпляров содержит изменения и дополнения в проспект выпуска облигаций (облигационной программы)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3) проспект выпуска облигаций (облигационной программы), содержащий вносимые в него изменения и дополнения (на государственном и русском языках) на электронном носителе в формате Аcrobat Reader без финансовой отчетности;</w:t>
      </w:r>
      <w:r>
        <w:br/>
      </w:r>
      <w:r>
        <w:rPr>
          <w:rFonts w:ascii="Times New Roman"/>
          <w:b w:val="false"/>
          <w:i w:val="false"/>
          <w:color w:val="000000"/>
          <w:sz w:val="28"/>
        </w:rPr>
        <w:t>
</w:t>
      </w:r>
      <w:r>
        <w:rPr>
          <w:rFonts w:ascii="Times New Roman"/>
          <w:b w:val="false"/>
          <w:i w:val="false"/>
          <w:color w:val="000000"/>
          <w:sz w:val="28"/>
        </w:rPr>
        <w:t>
      4) копия решения органа эмитента, на основании которого внесены изменения и дополнения в проспект выпуска облигаций (облигационной программы);</w:t>
      </w:r>
      <w:r>
        <w:br/>
      </w:r>
      <w:r>
        <w:rPr>
          <w:rFonts w:ascii="Times New Roman"/>
          <w:b w:val="false"/>
          <w:i w:val="false"/>
          <w:color w:val="000000"/>
          <w:sz w:val="28"/>
        </w:rPr>
        <w:t>
</w:t>
      </w:r>
      <w:r>
        <w:rPr>
          <w:rFonts w:ascii="Times New Roman"/>
          <w:b w:val="false"/>
          <w:i w:val="false"/>
          <w:color w:val="000000"/>
          <w:sz w:val="28"/>
        </w:rPr>
        <w:t>
      5) оригинал свидетельства о государственной регистрации выпуска облигаций (облигационной программы) в случае изменения наименования эмитента, его места нахождения, изменения вида облигаций, уменьшения количества облигаций и (или) срока их обращения;</w:t>
      </w:r>
      <w:r>
        <w:br/>
      </w:r>
      <w:r>
        <w:rPr>
          <w:rFonts w:ascii="Times New Roman"/>
          <w:b w:val="false"/>
          <w:i w:val="false"/>
          <w:color w:val="000000"/>
          <w:sz w:val="28"/>
        </w:rPr>
        <w:t>
</w:t>
      </w:r>
      <w:r>
        <w:rPr>
          <w:rFonts w:ascii="Times New Roman"/>
          <w:b w:val="false"/>
          <w:i w:val="false"/>
          <w:color w:val="000000"/>
          <w:sz w:val="28"/>
        </w:rPr>
        <w:t>
      6) письменное обязательство эмитента о том, что в результате внесения изменений и дополнений в проспект выпуска облигаций (облигационной программы) не нарушаются права собственников облигаций;</w:t>
      </w:r>
      <w:r>
        <w:br/>
      </w:r>
      <w:r>
        <w:rPr>
          <w:rFonts w:ascii="Times New Roman"/>
          <w:b w:val="false"/>
          <w:i w:val="false"/>
          <w:color w:val="000000"/>
          <w:sz w:val="28"/>
        </w:rPr>
        <w:t>
</w:t>
      </w:r>
      <w:r>
        <w:rPr>
          <w:rFonts w:ascii="Times New Roman"/>
          <w:b w:val="false"/>
          <w:i w:val="false"/>
          <w:color w:val="000000"/>
          <w:sz w:val="28"/>
        </w:rPr>
        <w:t>
      7) в случае изменения наименования эмитента,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 копия свидетельства о государственной перерегистрации юридического лица и копия изменений в устав;</w:t>
      </w:r>
      <w:r>
        <w:br/>
      </w:r>
      <w:r>
        <w:rPr>
          <w:rFonts w:ascii="Times New Roman"/>
          <w:b w:val="false"/>
          <w:i w:val="false"/>
          <w:color w:val="000000"/>
          <w:sz w:val="28"/>
        </w:rPr>
        <w:t>
</w:t>
      </w:r>
      <w:r>
        <w:rPr>
          <w:rFonts w:ascii="Times New Roman"/>
          <w:b w:val="false"/>
          <w:i w:val="false"/>
          <w:color w:val="000000"/>
          <w:sz w:val="28"/>
        </w:rPr>
        <w:t>
      8) в случае изменения места нахождения эмитента - копия документа, подтверждающая внесение органом юстиции новых сведений в единый государственный регистр юридических лиц (электронный регистр юридических лиц), и копия изменений в устав;</w:t>
      </w:r>
      <w:r>
        <w:br/>
      </w:r>
      <w:r>
        <w:rPr>
          <w:rFonts w:ascii="Times New Roman"/>
          <w:b w:val="false"/>
          <w:i w:val="false"/>
          <w:color w:val="000000"/>
          <w:sz w:val="28"/>
        </w:rPr>
        <w:t>
</w:t>
      </w:r>
      <w:r>
        <w:rPr>
          <w:rFonts w:ascii="Times New Roman"/>
          <w:b w:val="false"/>
          <w:i w:val="false"/>
          <w:color w:val="000000"/>
          <w:sz w:val="28"/>
        </w:rPr>
        <w:t>
      9) в случае уменьшения количества облигаций - копия выданной регистратором выписки о состоянии лицевого счета эмитента для учета ценных бумаг на дату, предшествующую дате принятия решения об уменьшении количества облигаций.</w:t>
      </w:r>
      <w:r>
        <w:br/>
      </w:r>
      <w:r>
        <w:rPr>
          <w:rFonts w:ascii="Times New Roman"/>
          <w:b w:val="false"/>
          <w:i w:val="false"/>
          <w:color w:val="000000"/>
          <w:sz w:val="28"/>
        </w:rPr>
        <w:t>
</w:t>
      </w:r>
      <w:r>
        <w:rPr>
          <w:rFonts w:ascii="Times New Roman"/>
          <w:b w:val="false"/>
          <w:i w:val="false"/>
          <w:color w:val="000000"/>
          <w:sz w:val="28"/>
        </w:rPr>
        <w:t>
      В случае проведения эмитентом реструктуризации в соответствии с решением суда о проведении реструктуризации, помимо документов, указанных в подпунктах 1)-5), 7) части первой настоящего пункта,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копия решения суда о проведении реструктуризации эмитента с приложением копии плана реструктуризации, утвержденного судом и содержащего в том числе изменение условий выпуска облигаций;</w:t>
      </w:r>
      <w:r>
        <w:br/>
      </w:r>
      <w:r>
        <w:rPr>
          <w:rFonts w:ascii="Times New Roman"/>
          <w:b w:val="false"/>
          <w:i w:val="false"/>
          <w:color w:val="000000"/>
          <w:sz w:val="28"/>
        </w:rPr>
        <w:t>
</w:t>
      </w:r>
      <w:r>
        <w:rPr>
          <w:rFonts w:ascii="Times New Roman"/>
          <w:b w:val="false"/>
          <w:i w:val="false"/>
          <w:color w:val="000000"/>
          <w:sz w:val="28"/>
        </w:rPr>
        <w:t>
      копия реестра держателей облигаций, выданного регистратором на дату проведения собрания кредиторов эмитента, обязательства перед которыми предполагается реструктурировать;</w:t>
      </w:r>
      <w:r>
        <w:br/>
      </w:r>
      <w:r>
        <w:rPr>
          <w:rFonts w:ascii="Times New Roman"/>
          <w:b w:val="false"/>
          <w:i w:val="false"/>
          <w:color w:val="000000"/>
          <w:sz w:val="28"/>
        </w:rPr>
        <w:t>
</w:t>
      </w:r>
      <w:r>
        <w:rPr>
          <w:rFonts w:ascii="Times New Roman"/>
          <w:b w:val="false"/>
          <w:i w:val="false"/>
          <w:color w:val="000000"/>
          <w:sz w:val="28"/>
        </w:rPr>
        <w:t>
      копия страницы периодического печатного издания, подтверждающей выполнение требования, указанного в </w:t>
      </w:r>
      <w:r>
        <w:rPr>
          <w:rFonts w:ascii="Times New Roman"/>
          <w:b w:val="false"/>
          <w:i w:val="false"/>
          <w:color w:val="000000"/>
          <w:sz w:val="28"/>
        </w:rPr>
        <w:t>пункте 6</w:t>
      </w:r>
      <w:r>
        <w:rPr>
          <w:rFonts w:ascii="Times New Roman"/>
          <w:b w:val="false"/>
          <w:i w:val="false"/>
          <w:color w:val="000000"/>
          <w:sz w:val="28"/>
        </w:rPr>
        <w:t xml:space="preserve"> статьи 59-3 Закона о банках.</w:t>
      </w:r>
      <w:r>
        <w:br/>
      </w:r>
      <w:r>
        <w:rPr>
          <w:rFonts w:ascii="Times New Roman"/>
          <w:b w:val="false"/>
          <w:i w:val="false"/>
          <w:color w:val="000000"/>
          <w:sz w:val="28"/>
        </w:rPr>
        <w:t>
</w:t>
      </w:r>
      <w:r>
        <w:rPr>
          <w:rFonts w:ascii="Times New Roman"/>
          <w:b w:val="false"/>
          <w:i w:val="false"/>
          <w:color w:val="000000"/>
          <w:sz w:val="28"/>
        </w:rPr>
        <w:t>
      В случае изменения сведений в проспекте выпуска облигаций (облигационной программы), указанных в подпунктах 4-2), 8), 9) пункта 1 </w:t>
      </w:r>
      <w:r>
        <w:rPr>
          <w:rFonts w:ascii="Times New Roman"/>
          <w:b w:val="false"/>
          <w:i w:val="false"/>
          <w:color w:val="000000"/>
          <w:sz w:val="28"/>
        </w:rPr>
        <w:t>статьи 9</w:t>
      </w:r>
      <w:r>
        <w:rPr>
          <w:rFonts w:ascii="Times New Roman"/>
          <w:b w:val="false"/>
          <w:i w:val="false"/>
          <w:color w:val="000000"/>
          <w:sz w:val="28"/>
        </w:rPr>
        <w:t xml:space="preserve"> Закона, помимо документов, указанных в подпунктах 1)-3), 5), 9) части первой настоящего пункта, дополнительно представляется копия решения общего собрания держателей облигаций (за исключением случаев реструктуризации эмитента, проводимой в соответствии с решением суда или в случаях,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В решении общего собрания держателей облигаций указываются следующие сведения:</w:t>
      </w:r>
      <w:r>
        <w:br/>
      </w:r>
      <w:r>
        <w:rPr>
          <w:rFonts w:ascii="Times New Roman"/>
          <w:b w:val="false"/>
          <w:i w:val="false"/>
          <w:color w:val="000000"/>
          <w:sz w:val="28"/>
        </w:rPr>
        <w:t>
      наименование эмитента, дата и номер государственной регистрации выпуска его облигаций, по которому проводится общее собрание держателей облигаций;</w:t>
      </w:r>
      <w:r>
        <w:br/>
      </w:r>
      <w:r>
        <w:rPr>
          <w:rFonts w:ascii="Times New Roman"/>
          <w:b w:val="false"/>
          <w:i w:val="false"/>
          <w:color w:val="000000"/>
          <w:sz w:val="28"/>
        </w:rPr>
        <w:t>
      дата, время и место проведения общего собрания держателей облигаций;</w:t>
      </w:r>
      <w:r>
        <w:br/>
      </w:r>
      <w:r>
        <w:rPr>
          <w:rFonts w:ascii="Times New Roman"/>
          <w:b w:val="false"/>
          <w:i w:val="false"/>
          <w:color w:val="000000"/>
          <w:sz w:val="28"/>
        </w:rPr>
        <w:t>
      сведения о количестве облигаций, держатели которых присутствуют на общем собрании держателей облигаций;</w:t>
      </w:r>
      <w:r>
        <w:br/>
      </w:r>
      <w:r>
        <w:rPr>
          <w:rFonts w:ascii="Times New Roman"/>
          <w:b w:val="false"/>
          <w:i w:val="false"/>
          <w:color w:val="000000"/>
          <w:sz w:val="28"/>
        </w:rPr>
        <w:t>
      кворум общего собрания держателей облигаций;</w:t>
      </w:r>
      <w:r>
        <w:br/>
      </w:r>
      <w:r>
        <w:rPr>
          <w:rFonts w:ascii="Times New Roman"/>
          <w:b w:val="false"/>
          <w:i w:val="false"/>
          <w:color w:val="000000"/>
          <w:sz w:val="28"/>
        </w:rPr>
        <w:t>
      повестка дня общего собрания держателей облигаций;</w:t>
      </w:r>
      <w:r>
        <w:br/>
      </w:r>
      <w:r>
        <w:rPr>
          <w:rFonts w:ascii="Times New Roman"/>
          <w:b w:val="false"/>
          <w:i w:val="false"/>
          <w:color w:val="000000"/>
          <w:sz w:val="28"/>
        </w:rPr>
        <w:t>
      порядок голосования на общем собрании держателей облигаций по вопросу, на основании которого вносятся изменения и дополнения в проспект выпуска облигаций;</w:t>
      </w:r>
      <w:r>
        <w:br/>
      </w:r>
      <w:r>
        <w:rPr>
          <w:rFonts w:ascii="Times New Roman"/>
          <w:b w:val="false"/>
          <w:i w:val="false"/>
          <w:color w:val="000000"/>
          <w:sz w:val="28"/>
        </w:rPr>
        <w:t>
      фамилия, имя, при наличии – отчество председателя и секретаря общего собрания держателей облигаций;</w:t>
      </w:r>
      <w:r>
        <w:br/>
      </w:r>
      <w:r>
        <w:rPr>
          <w:rFonts w:ascii="Times New Roman"/>
          <w:b w:val="false"/>
          <w:i w:val="false"/>
          <w:color w:val="000000"/>
          <w:sz w:val="28"/>
        </w:rPr>
        <w:t>
      общее количество голосов держателей облигаций по каждому вопросу повестки дня общего собрания держателей облигаций, поставленному на голосование, на основании которого вносятся изменения и дополнения в проспект выпуска облигаций;</w:t>
      </w:r>
      <w:r>
        <w:br/>
      </w:r>
      <w:r>
        <w:rPr>
          <w:rFonts w:ascii="Times New Roman"/>
          <w:b w:val="false"/>
          <w:i w:val="false"/>
          <w:color w:val="000000"/>
          <w:sz w:val="28"/>
        </w:rPr>
        <w:t>
      решение, принятое по каждому пункту повестки дня общим собранием держателей облигаций эмитента по вопросу, на основании которого вносятся изменения и дополнения в проспект выпуска облигаций;</w:t>
      </w:r>
      <w:r>
        <w:br/>
      </w:r>
      <w:r>
        <w:rPr>
          <w:rFonts w:ascii="Times New Roman"/>
          <w:b w:val="false"/>
          <w:i w:val="false"/>
          <w:color w:val="000000"/>
          <w:sz w:val="28"/>
        </w:rPr>
        <w:t>
      решения, принятые общим собранием держателей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5-4</w:t>
      </w:r>
      <w:r>
        <w:rPr>
          <w:rFonts w:ascii="Times New Roman"/>
          <w:b w:val="false"/>
          <w:i w:val="false"/>
          <w:color w:val="000000"/>
          <w:sz w:val="28"/>
        </w:rPr>
        <w:t xml:space="preserve"> после слов "зарегистрированного объема выпуска облигаций" дополнить словами ", за исключением облигаций, оплата которых будет произведена правами требования по облигациям, ранее выпущенным данным эмитентом, срок обращения которых истек";</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 Решение об аннулировании выпуска облигаций принимается уполномоченным органом по основаниям, предусмотренным статьей 30-1 Закона.</w:t>
      </w:r>
      <w:r>
        <w:br/>
      </w:r>
      <w:r>
        <w:rPr>
          <w:rFonts w:ascii="Times New Roman"/>
          <w:b w:val="false"/>
          <w:i w:val="false"/>
          <w:color w:val="000000"/>
          <w:sz w:val="28"/>
        </w:rPr>
        <w:t>
</w:t>
      </w:r>
      <w:r>
        <w:rPr>
          <w:rFonts w:ascii="Times New Roman"/>
          <w:b w:val="false"/>
          <w:i w:val="false"/>
          <w:color w:val="000000"/>
          <w:sz w:val="28"/>
        </w:rPr>
        <w:t>
      12-2. Для аннулирования выпуска облигаций эмитент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w:t>
      </w:r>
      <w:r>
        <w:rPr>
          <w:rFonts w:ascii="Times New Roman"/>
          <w:b w:val="false"/>
          <w:i w:val="false"/>
          <w:color w:val="000000"/>
          <w:sz w:val="28"/>
        </w:rPr>
        <w:t>
      2) копию решения органа эмитента, принявшего решение об аннулировании выпуска облигаций;</w:t>
      </w:r>
      <w:r>
        <w:br/>
      </w:r>
      <w:r>
        <w:rPr>
          <w:rFonts w:ascii="Times New Roman"/>
          <w:b w:val="false"/>
          <w:i w:val="false"/>
          <w:color w:val="000000"/>
          <w:sz w:val="28"/>
        </w:rPr>
        <w:t>
</w:t>
      </w:r>
      <w:r>
        <w:rPr>
          <w:rFonts w:ascii="Times New Roman"/>
          <w:b w:val="false"/>
          <w:i w:val="false"/>
          <w:color w:val="000000"/>
          <w:sz w:val="28"/>
        </w:rPr>
        <w:t>
      3) оригиналы свидетельства о государственной регистрации выпуска облигаций, проспекта выпуска облигаций с отметкой уполномоченного органа о регистрации;</w:t>
      </w:r>
      <w:r>
        <w:br/>
      </w:r>
      <w:r>
        <w:rPr>
          <w:rFonts w:ascii="Times New Roman"/>
          <w:b w:val="false"/>
          <w:i w:val="false"/>
          <w:color w:val="000000"/>
          <w:sz w:val="28"/>
        </w:rPr>
        <w:t>
</w:t>
      </w:r>
      <w:r>
        <w:rPr>
          <w:rFonts w:ascii="Times New Roman"/>
          <w:b w:val="false"/>
          <w:i w:val="false"/>
          <w:color w:val="000000"/>
          <w:sz w:val="28"/>
        </w:rPr>
        <w:t>
      4) уведомление регистратора об отсутствии держателей облигаций на дату принятия решения об аннулировании в случае, если ни одна облигация данного выпуска не была размещена или все облигации данного выпуска выкуплены эмитентом на вторичном рынке ценных бумаг;</w:t>
      </w:r>
      <w:r>
        <w:br/>
      </w:r>
      <w:r>
        <w:rPr>
          <w:rFonts w:ascii="Times New Roman"/>
          <w:b w:val="false"/>
          <w:i w:val="false"/>
          <w:color w:val="000000"/>
          <w:sz w:val="28"/>
        </w:rPr>
        <w:t>
</w:t>
      </w:r>
      <w:r>
        <w:rPr>
          <w:rFonts w:ascii="Times New Roman"/>
          <w:b w:val="false"/>
          <w:i w:val="false"/>
          <w:color w:val="000000"/>
          <w:sz w:val="28"/>
        </w:rPr>
        <w:t>
      5) документ, подтверждающий выкуп права требования по всем облигациям данного выпуска, в случае истечения их срока действия.</w:t>
      </w:r>
      <w:r>
        <w:br/>
      </w:r>
      <w:r>
        <w:rPr>
          <w:rFonts w:ascii="Times New Roman"/>
          <w:b w:val="false"/>
          <w:i w:val="false"/>
          <w:color w:val="000000"/>
          <w:sz w:val="28"/>
        </w:rPr>
        <w:t>
</w:t>
      </w:r>
      <w:r>
        <w:rPr>
          <w:rFonts w:ascii="Times New Roman"/>
          <w:b w:val="false"/>
          <w:i w:val="false"/>
          <w:color w:val="000000"/>
          <w:sz w:val="28"/>
        </w:rPr>
        <w:t>
      При осуществлении процедур реструктуризации финансовых организаций эмитент дополнительно к документам, указанным в подпунктах 1)-3) настоящего пункта, представляет копию решения суда о проведении реструктуризации эмитента с приложением копии плана реструктуризации, утвержденного судом.</w:t>
      </w:r>
      <w:r>
        <w:br/>
      </w:r>
      <w:r>
        <w:rPr>
          <w:rFonts w:ascii="Times New Roman"/>
          <w:b w:val="false"/>
          <w:i w:val="false"/>
          <w:color w:val="000000"/>
          <w:sz w:val="28"/>
        </w:rPr>
        <w:t>
</w:t>
      </w:r>
      <w:r>
        <w:rPr>
          <w:rFonts w:ascii="Times New Roman"/>
          <w:b w:val="false"/>
          <w:i w:val="false"/>
          <w:color w:val="000000"/>
          <w:sz w:val="28"/>
        </w:rPr>
        <w:t>
      Ликвидационная комиссия эмитента, ликвидируемого в принудительном порядке, дополнительно к документам, указанным в подпунктах 1)-3) настоящего пункта, представляет документы, подтверждающие завершение ликвидационного процесса (копию ликвидационного баланса).";</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14</w:t>
      </w:r>
      <w:r>
        <w:rPr>
          <w:rFonts w:ascii="Times New Roman"/>
          <w:b w:val="false"/>
          <w:i w:val="false"/>
          <w:color w:val="000000"/>
          <w:sz w:val="28"/>
        </w:rPr>
        <w:t xml:space="preserve"> слова "эмитентом", "эмитента" заменить словами "банком", "банка" соответственно;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слова "облигаций, обеспеченных гарантией эмитента," заменить словами "ипотечных и иных обеспеченных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слова "и содержащего в том числе условия выпуска облигаций"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"16-3. Эмитент в течение трех календарных дней с даты неисполнения либо ненадлежащего исполнения обязательств по облигациям и ежемесячно в срок не позднее 10 (десятого) числа месяца представляет в уполномоченный орган в течение периода неисполнения либо ненадлежащего исполнения обязательств по облигациям сведения согласно приложению 10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33-1</w:t>
      </w:r>
      <w:r>
        <w:rPr>
          <w:rFonts w:ascii="Times New Roman"/>
          <w:b w:val="false"/>
          <w:i w:val="false"/>
          <w:color w:val="000000"/>
          <w:sz w:val="28"/>
        </w:rPr>
        <w:t xml:space="preserve"> после слов "Сведения об активах эмитента," дополнить словами "составляющих не менее десяти процентов от общего объема активов,";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5-1</w:t>
      </w:r>
      <w:r>
        <w:rPr>
          <w:rFonts w:ascii="Times New Roman"/>
          <w:b w:val="false"/>
          <w:i w:val="false"/>
          <w:color w:val="000000"/>
          <w:sz w:val="28"/>
        </w:rPr>
        <w:t>) после слов "указываются условия, порядок оплаты облигаций" дополнить словами "(включая облигаций, ранее выпущенным данным эмитентом, срок обращения которых истек)";</w:t>
      </w:r>
      <w:r>
        <w:br/>
      </w:r>
      <w:r>
        <w:rPr>
          <w:rFonts w:ascii="Times New Roman"/>
          <w:b w:val="false"/>
          <w:i w:val="false"/>
          <w:color w:val="000000"/>
          <w:sz w:val="28"/>
        </w:rPr>
        <w:t>
</w:t>
      </w:r>
      <w:r>
        <w:rPr>
          <w:rFonts w:ascii="Times New Roman"/>
          <w:b w:val="false"/>
          <w:i w:val="false"/>
          <w:color w:val="000000"/>
          <w:sz w:val="28"/>
        </w:rPr>
        <w:t>
      дополнить подпунктом 5-9) следующего содержания:</w:t>
      </w:r>
      <w:r>
        <w:br/>
      </w:r>
      <w:r>
        <w:rPr>
          <w:rFonts w:ascii="Times New Roman"/>
          <w:b w:val="false"/>
          <w:i w:val="false"/>
          <w:color w:val="000000"/>
          <w:sz w:val="28"/>
        </w:rPr>
        <w:t>
      "5-9) при выпуске облигаций, оплата которых будет произведена правами требования по облигациям, ранее выпущенным эмитентом, срок обращения которых истек, дополнительно указывается дата и номер государственной регистрации выпуска данных облигаций, их вид и количество;";</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целевое назначение облигационного займа;";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21-1</w:t>
      </w:r>
      <w:r>
        <w:rPr>
          <w:rFonts w:ascii="Times New Roman"/>
          <w:b w:val="false"/>
          <w:i w:val="false"/>
          <w:color w:val="000000"/>
          <w:sz w:val="28"/>
        </w:rPr>
        <w:t xml:space="preserve"> после слов "Сведения об активах эмитента," дополнить словами "составляющих не менее десяти процентов от общего объема активов,";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23</w:t>
      </w:r>
      <w:r>
        <w:rPr>
          <w:rFonts w:ascii="Times New Roman"/>
          <w:b w:val="false"/>
          <w:i w:val="false"/>
          <w:color w:val="000000"/>
          <w:sz w:val="28"/>
        </w:rPr>
        <w:t>:</w:t>
      </w:r>
      <w:r>
        <w:br/>
      </w:r>
      <w:r>
        <w:rPr>
          <w:rFonts w:ascii="Times New Roman"/>
          <w:b w:val="false"/>
          <w:i w:val="false"/>
          <w:color w:val="000000"/>
          <w:sz w:val="28"/>
        </w:rPr>
        <w:t>
      в подпункте 7)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целевое назначение облигационного займа.";</w:t>
      </w:r>
      <w:r>
        <w:br/>
      </w:r>
      <w:r>
        <w:rPr>
          <w:rFonts w:ascii="Times New Roman"/>
          <w:b w:val="false"/>
          <w:i w:val="false"/>
          <w:color w:val="000000"/>
          <w:sz w:val="28"/>
        </w:rPr>
        <w:t>
</w:t>
      </w:r>
      <w:r>
        <w:rPr>
          <w:rFonts w:ascii="Times New Roman"/>
          <w:b w:val="false"/>
          <w:i w:val="false"/>
          <w:color w:val="000000"/>
          <w:sz w:val="28"/>
        </w:rPr>
        <w:t>
      в пункте 7 </w:t>
      </w:r>
      <w:r>
        <w:rPr>
          <w:rFonts w:ascii="Times New Roman"/>
          <w:b w:val="false"/>
          <w:i w:val="false"/>
          <w:color w:val="000000"/>
          <w:sz w:val="28"/>
        </w:rPr>
        <w:t>приложения 3</w:t>
      </w:r>
      <w:r>
        <w:rPr>
          <w:rFonts w:ascii="Times New Roman"/>
          <w:b w:val="false"/>
          <w:i w:val="false"/>
          <w:color w:val="000000"/>
          <w:sz w:val="28"/>
        </w:rPr>
        <w:t xml:space="preserve"> слова ", руководителем, службы внутреннего аудита (при наличии)"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приложения 5 дополнить подпунктом 5-1) следующего содержания:</w:t>
      </w:r>
      <w:r>
        <w:br/>
      </w:r>
      <w:r>
        <w:rPr>
          <w:rFonts w:ascii="Times New Roman"/>
          <w:b w:val="false"/>
          <w:i w:val="false"/>
          <w:color w:val="000000"/>
          <w:sz w:val="28"/>
        </w:rPr>
        <w:t>
      "5-1) информация о размещенных облигациях, оплата которых произведена правами требования по облигациям, ранее выпущенным эмитентом, срок обращения которых истек, с указанием даты и номера государственной регистрации выпуска облигаций, вида, количества данных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w:t>
      </w:r>
      <w:r>
        <w:rPr>
          <w:rFonts w:ascii="Times New Roman"/>
          <w:b w:val="false"/>
          <w:i w:val="false"/>
          <w:color w:val="000000"/>
          <w:sz w:val="28"/>
        </w:rPr>
        <w:t>:</w:t>
      </w:r>
      <w:r>
        <w:br/>
      </w:r>
      <w:r>
        <w:rPr>
          <w:rFonts w:ascii="Times New Roman"/>
          <w:b w:val="false"/>
          <w:i w:val="false"/>
          <w:color w:val="000000"/>
          <w:sz w:val="28"/>
        </w:rPr>
        <w:t>
      слова "По состоянию на дату принятия решения об аннулировании выпуска облигаций ни одна облигация данного выпуска не была размещена." исключить;</w:t>
      </w:r>
      <w:r>
        <w:br/>
      </w:r>
      <w:r>
        <w:rPr>
          <w:rFonts w:ascii="Times New Roman"/>
          <w:b w:val="false"/>
          <w:i w:val="false"/>
          <w:color w:val="000000"/>
          <w:sz w:val="28"/>
        </w:rPr>
        <w:t>
      после слов "Выпуск облигаций аннулирован с</w:t>
      </w:r>
      <w:r>
        <w:br/>
      </w:r>
      <w:r>
        <w:rPr>
          <w:rFonts w:ascii="Times New Roman"/>
          <w:b w:val="false"/>
          <w:i w:val="false"/>
          <w:color w:val="000000"/>
          <w:sz w:val="28"/>
        </w:rPr>
        <w:t xml:space="preserve">
________________________ </w:t>
      </w:r>
      <w:r>
        <w:br/>
      </w:r>
      <w:r>
        <w:rPr>
          <w:rFonts w:ascii="Times New Roman"/>
          <w:b w:val="false"/>
          <w:i w:val="false"/>
          <w:color w:val="000000"/>
          <w:sz w:val="28"/>
        </w:rPr>
        <w:t>
Дата (число/месяц/год) "</w:t>
      </w:r>
      <w:r>
        <w:br/>
      </w:r>
      <w:r>
        <w:rPr>
          <w:rFonts w:ascii="Times New Roman"/>
          <w:b w:val="false"/>
          <w:i w:val="false"/>
          <w:color w:val="000000"/>
          <w:sz w:val="28"/>
        </w:rPr>
        <w:t>
дополнить словами "в связи с ____________________";</w:t>
      </w:r>
      <w:r>
        <w:br/>
      </w:r>
      <w:r>
        <w:rPr>
          <w:rFonts w:ascii="Times New Roman"/>
          <w:b w:val="false"/>
          <w:i w:val="false"/>
          <w:color w:val="000000"/>
          <w:sz w:val="28"/>
        </w:rPr>
        <w:t>
</w:t>
      </w:r>
      <w:r>
        <w:rPr>
          <w:rFonts w:ascii="Times New Roman"/>
          <w:b w:val="false"/>
          <w:i w:val="false"/>
          <w:color w:val="000000"/>
          <w:sz w:val="28"/>
        </w:rPr>
        <w:t>
      в приложении 10:</w:t>
      </w:r>
      <w:r>
        <w:br/>
      </w:r>
      <w:r>
        <w:rPr>
          <w:rFonts w:ascii="Times New Roman"/>
          <w:b w:val="false"/>
          <w:i w:val="false"/>
          <w:color w:val="000000"/>
          <w:sz w:val="28"/>
        </w:rPr>
        <w:t>
      после столбца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tblGrid>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Недостающая сумма для полной</w:t>
            </w:r>
            <w:r>
              <w:br/>
            </w:r>
            <w:r>
              <w:rPr>
                <w:rFonts w:ascii="Times New Roman"/>
                <w:b w:val="false"/>
                <w:i w:val="false"/>
                <w:color w:val="000000"/>
                <w:sz w:val="20"/>
              </w:rPr>
              <w:t>
выплаты задолженности</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дополнить столбцом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tblGrid>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основного долга</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6" w:id="1"/>
    <w:p>
      <w:pPr>
        <w:spacing w:after="0"/>
        <w:ind w:left="0"/>
        <w:jc w:val="both"/>
      </w:pPr>
      <w:r>
        <w:rPr>
          <w:rFonts w:ascii="Times New Roman"/>
          <w:b w:val="false"/>
          <w:i w:val="false"/>
          <w:color w:val="000000"/>
          <w:sz w:val="28"/>
        </w:rPr>
        <w:t>
      4.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Департаменту лицензирования (Каскаманова Н.К.):</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Объединений юридических лиц "Национальная экономическая палата Казахстана "Союз Атамекен" и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6.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Агентства Байсынова М.Б.</w:t>
      </w:r>
    </w:p>
    <w:bookmarkEnd w:id="1"/>
    <w:p>
      <w:pPr>
        <w:spacing w:after="0"/>
        <w:ind w:left="0"/>
        <w:jc w:val="both"/>
      </w:pPr>
      <w:r>
        <w:rPr>
          <w:rFonts w:ascii="Times New Roman"/>
          <w:b w:val="false"/>
          <w:i/>
          <w:color w:val="000000"/>
          <w:sz w:val="28"/>
        </w:rPr>
        <w:t>      Председатель                               Е. Бахмутова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