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efce" w14:textId="28fe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и.о. Министра здравоохранения Республики Казахстан от 10 ноября 2009 года № 685 "Об утверждении Правил проведения профилактических медицинских осмотров целевых групп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16 марта 2011 года № 145. Зарегистрирован в Министерстве юстиции Республики Казахстан 25 апреля 2011 года № 6902. Утратил силу приказом Министра здравоохранения Республики Казахстан от 15 декабря 2020 года № ҚР ДСМ-264/2020.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15.12.2020 </w:t>
      </w:r>
      <w:r>
        <w:rPr>
          <w:rFonts w:ascii="Times New Roman"/>
          <w:b w:val="false"/>
          <w:i w:val="false"/>
          <w:color w:val="ff0000"/>
          <w:sz w:val="28"/>
        </w:rPr>
        <w:t>№ ҚР ДСМ-264/2020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155</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и в целях реализации Государственной программы развития здравоохранения Республики Казахстан "Саламатты Қазақстан",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ноября 2010 года № 1113,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10 ноября 2009 года № 685 "Об утверждении Правил проведения профилактических медицинских осмотров целевых групп населения" (зарегистрированный в Реестре государственной регистрации нормативных правовых актов за № 5918, опубликованный в Собрании актов центральных исполнительных и иных центральных государственных органов Республики Казахстан, 2010 г., № 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профилактических медицинских осмотров целевых групп населения,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(Тулегалиева А.Г.)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2"/>
    <w:bookmarkStart w:name="z6" w:id="3"/>
    <w:p>
      <w:pPr>
        <w:spacing w:after="0"/>
        <w:ind w:left="0"/>
        <w:jc w:val="both"/>
      </w:pPr>
      <w:r>
        <w:rPr>
          <w:rFonts w:ascii="Times New Roman"/>
          <w:b w:val="false"/>
          <w:i w:val="false"/>
          <w:color w:val="000000"/>
          <w:sz w:val="28"/>
        </w:rPr>
        <w:t>
      3. Юридическому департаменту Министерства здравоохранения Республики Казахстан (Болтаева К.С.) обеспечить в установленном законодательством Республики Казахстан порядке официальное опубликование настоящего приказа после его государственной регистрации.</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p>
    <w:bookmarkEnd w:id="4"/>
    <w:bookmarkStart w:name="z8"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2011 года № 145</w:t>
            </w:r>
          </w:p>
        </w:tc>
      </w:tr>
    </w:tbl>
    <w:bookmarkStart w:name="z10" w:id="6"/>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профилактических медицинских осмотров</w:t>
      </w:r>
      <w:r>
        <w:br/>
      </w:r>
      <w:r>
        <w:rPr>
          <w:rFonts w:ascii="Times New Roman"/>
          <w:b/>
          <w:i w:val="false"/>
          <w:color w:val="000000"/>
        </w:rPr>
        <w:t>целевых групп населения</w:t>
      </w:r>
      <w:r>
        <w:br/>
      </w:r>
      <w:r>
        <w:rPr>
          <w:rFonts w:ascii="Times New Roman"/>
          <w:b/>
          <w:i w:val="false"/>
          <w:color w:val="000000"/>
        </w:rPr>
        <w:t>1. Общие положения</w:t>
      </w:r>
    </w:p>
    <w:bookmarkEnd w:id="6"/>
    <w:bookmarkStart w:name="z12" w:id="7"/>
    <w:p>
      <w:pPr>
        <w:spacing w:after="0"/>
        <w:ind w:left="0"/>
        <w:jc w:val="both"/>
      </w:pPr>
      <w:r>
        <w:rPr>
          <w:rFonts w:ascii="Times New Roman"/>
          <w:b w:val="false"/>
          <w:i w:val="false"/>
          <w:color w:val="000000"/>
          <w:sz w:val="28"/>
        </w:rPr>
        <w:t>
      1. Настоящие Правила проведения профилактических медицинских осмотров целевых групп населения (далее – Правила) определяют порядок и периодичность проведения профилактических медицинских осмотров целевых групп населения Республики Казахстан.</w:t>
      </w:r>
    </w:p>
    <w:bookmarkEnd w:id="7"/>
    <w:bookmarkStart w:name="z13" w:id="8"/>
    <w:p>
      <w:pPr>
        <w:spacing w:after="0"/>
        <w:ind w:left="0"/>
        <w:jc w:val="both"/>
      </w:pPr>
      <w:r>
        <w:rPr>
          <w:rFonts w:ascii="Times New Roman"/>
          <w:b w:val="false"/>
          <w:i w:val="false"/>
          <w:color w:val="000000"/>
          <w:sz w:val="28"/>
        </w:rPr>
        <w:t>
      2. Профилактические медицинские осмотры целевых групп населения – это скрининговые осмотры, направленные на выявление заболеваний на ранних стадиях и предупреждение развития заболеваний, факторов риска, способствующих возникновению заболеваний, формирование и укрепление здоровья населения.</w:t>
      </w:r>
    </w:p>
    <w:bookmarkEnd w:id="8"/>
    <w:bookmarkStart w:name="z14" w:id="9"/>
    <w:p>
      <w:pPr>
        <w:spacing w:after="0"/>
        <w:ind w:left="0"/>
        <w:jc w:val="both"/>
      </w:pPr>
      <w:r>
        <w:rPr>
          <w:rFonts w:ascii="Times New Roman"/>
          <w:b w:val="false"/>
          <w:i w:val="false"/>
          <w:color w:val="000000"/>
          <w:sz w:val="28"/>
        </w:rPr>
        <w:t>
      3. Скрининговые осмотры проводятся в рамках гарантированного объема бесплатной медицинской помощи субъектами здравоохранения, имеющими лицензию на данный вид деятельности.</w:t>
      </w:r>
    </w:p>
    <w:bookmarkEnd w:id="9"/>
    <w:bookmarkStart w:name="z15" w:id="10"/>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города республиканского значения и столицы (далее – Управление) обеспечивают:</w:t>
      </w:r>
    </w:p>
    <w:bookmarkEnd w:id="10"/>
    <w:bookmarkStart w:name="z16" w:id="11"/>
    <w:p>
      <w:pPr>
        <w:spacing w:after="0"/>
        <w:ind w:left="0"/>
        <w:jc w:val="both"/>
      </w:pPr>
      <w:r>
        <w:rPr>
          <w:rFonts w:ascii="Times New Roman"/>
          <w:b w:val="false"/>
          <w:i w:val="false"/>
          <w:color w:val="000000"/>
          <w:sz w:val="28"/>
        </w:rPr>
        <w:t>
      1) ежегодное проведение скрининговых осмотров целевых групп населения согласно настоящим Правилам;</w:t>
      </w:r>
    </w:p>
    <w:bookmarkEnd w:id="11"/>
    <w:bookmarkStart w:name="z17" w:id="12"/>
    <w:p>
      <w:pPr>
        <w:spacing w:after="0"/>
        <w:ind w:left="0"/>
        <w:jc w:val="both"/>
      </w:pPr>
      <w:r>
        <w:rPr>
          <w:rFonts w:ascii="Times New Roman"/>
          <w:b w:val="false"/>
          <w:i w:val="false"/>
          <w:color w:val="000000"/>
          <w:sz w:val="28"/>
        </w:rPr>
        <w:t>
      2) формирование электронной базы данных скрининговых осмотров;</w:t>
      </w:r>
    </w:p>
    <w:bookmarkEnd w:id="12"/>
    <w:bookmarkStart w:name="z18" w:id="13"/>
    <w:p>
      <w:pPr>
        <w:spacing w:after="0"/>
        <w:ind w:left="0"/>
        <w:jc w:val="both"/>
      </w:pPr>
      <w:r>
        <w:rPr>
          <w:rFonts w:ascii="Times New Roman"/>
          <w:b w:val="false"/>
          <w:i w:val="false"/>
          <w:color w:val="000000"/>
          <w:sz w:val="28"/>
        </w:rPr>
        <w:t>
      3) создание постоянно действующей рабочей группы по координации, мониторингу и анализу скрининговых осмотров.</w:t>
      </w:r>
    </w:p>
    <w:bookmarkEnd w:id="13"/>
    <w:bookmarkStart w:name="z19" w:id="14"/>
    <w:p>
      <w:pPr>
        <w:spacing w:after="0"/>
        <w:ind w:left="0"/>
        <w:jc w:val="both"/>
      </w:pPr>
      <w:r>
        <w:rPr>
          <w:rFonts w:ascii="Times New Roman"/>
          <w:b w:val="false"/>
          <w:i w:val="false"/>
          <w:color w:val="000000"/>
          <w:sz w:val="28"/>
        </w:rPr>
        <w:t>
      5. Скрининговые осмотры взрослого населения направлены на раннее выявление и предупреждение:</w:t>
      </w:r>
    </w:p>
    <w:bookmarkEnd w:id="14"/>
    <w:bookmarkStart w:name="z20" w:id="15"/>
    <w:p>
      <w:pPr>
        <w:spacing w:after="0"/>
        <w:ind w:left="0"/>
        <w:jc w:val="both"/>
      </w:pPr>
      <w:r>
        <w:rPr>
          <w:rFonts w:ascii="Times New Roman"/>
          <w:b w:val="false"/>
          <w:i w:val="false"/>
          <w:color w:val="000000"/>
          <w:sz w:val="28"/>
        </w:rPr>
        <w:t>
      1) основных болезней системы кровообращения – артериальной гипертонии, ишемической болезни сердца;</w:t>
      </w:r>
    </w:p>
    <w:bookmarkEnd w:id="15"/>
    <w:bookmarkStart w:name="z21" w:id="16"/>
    <w:p>
      <w:pPr>
        <w:spacing w:after="0"/>
        <w:ind w:left="0"/>
        <w:jc w:val="both"/>
      </w:pPr>
      <w:r>
        <w:rPr>
          <w:rFonts w:ascii="Times New Roman"/>
          <w:b w:val="false"/>
          <w:i w:val="false"/>
          <w:color w:val="000000"/>
          <w:sz w:val="28"/>
        </w:rPr>
        <w:t>
      2) сахарного диабета среди мужчин и женщин;</w:t>
      </w:r>
    </w:p>
    <w:bookmarkEnd w:id="16"/>
    <w:bookmarkStart w:name="z22" w:id="17"/>
    <w:p>
      <w:pPr>
        <w:spacing w:after="0"/>
        <w:ind w:left="0"/>
        <w:jc w:val="both"/>
      </w:pPr>
      <w:r>
        <w:rPr>
          <w:rFonts w:ascii="Times New Roman"/>
          <w:b w:val="false"/>
          <w:i w:val="false"/>
          <w:color w:val="000000"/>
          <w:sz w:val="28"/>
        </w:rPr>
        <w:t>
      3) предопухолевых, злокачественных новообразований шейки матки среди женщин;</w:t>
      </w:r>
    </w:p>
    <w:bookmarkEnd w:id="17"/>
    <w:bookmarkStart w:name="z23" w:id="18"/>
    <w:p>
      <w:pPr>
        <w:spacing w:after="0"/>
        <w:ind w:left="0"/>
        <w:jc w:val="both"/>
      </w:pPr>
      <w:r>
        <w:rPr>
          <w:rFonts w:ascii="Times New Roman"/>
          <w:b w:val="false"/>
          <w:i w:val="false"/>
          <w:color w:val="000000"/>
          <w:sz w:val="28"/>
        </w:rPr>
        <w:t>
      4) предопухолевых, злокачественных новообразований молочной железы среди женщин;</w:t>
      </w:r>
    </w:p>
    <w:bookmarkEnd w:id="18"/>
    <w:bookmarkStart w:name="z24" w:id="19"/>
    <w:p>
      <w:pPr>
        <w:spacing w:after="0"/>
        <w:ind w:left="0"/>
        <w:jc w:val="both"/>
      </w:pPr>
      <w:r>
        <w:rPr>
          <w:rFonts w:ascii="Times New Roman"/>
          <w:b w:val="false"/>
          <w:i w:val="false"/>
          <w:color w:val="000000"/>
          <w:sz w:val="28"/>
        </w:rPr>
        <w:t>
      5) глаукомы среди мужчин и женщин;</w:t>
      </w:r>
    </w:p>
    <w:bookmarkEnd w:id="19"/>
    <w:bookmarkStart w:name="z25" w:id="20"/>
    <w:p>
      <w:pPr>
        <w:spacing w:after="0"/>
        <w:ind w:left="0"/>
        <w:jc w:val="both"/>
      </w:pPr>
      <w:r>
        <w:rPr>
          <w:rFonts w:ascii="Times New Roman"/>
          <w:b w:val="false"/>
          <w:i w:val="false"/>
          <w:color w:val="000000"/>
          <w:sz w:val="28"/>
        </w:rPr>
        <w:t>
      6) предопухолевых, злокачественных новообразований толстой и прямой кишки среди мужчин и женщин.</w:t>
      </w:r>
    </w:p>
    <w:bookmarkEnd w:id="20"/>
    <w:bookmarkStart w:name="z26" w:id="21"/>
    <w:p>
      <w:pPr>
        <w:spacing w:after="0"/>
        <w:ind w:left="0"/>
        <w:jc w:val="both"/>
      </w:pPr>
      <w:r>
        <w:rPr>
          <w:rFonts w:ascii="Times New Roman"/>
          <w:b w:val="false"/>
          <w:i w:val="false"/>
          <w:color w:val="000000"/>
          <w:sz w:val="28"/>
        </w:rPr>
        <w:t>
      6. Скрининговые осмотры детского населения направлены на профилактику, раннее выявление и предупреждение заболеваний, развитие которых связано с особенностями анатомо-физиологического развития в различные возрастные периоды жизни, в том числе в подростковом периоде.</w:t>
      </w:r>
    </w:p>
    <w:bookmarkEnd w:id="21"/>
    <w:bookmarkStart w:name="z27" w:id="22"/>
    <w:p>
      <w:pPr>
        <w:spacing w:after="0"/>
        <w:ind w:left="0"/>
        <w:jc w:val="left"/>
      </w:pPr>
      <w:r>
        <w:rPr>
          <w:rFonts w:ascii="Times New Roman"/>
          <w:b/>
          <w:i w:val="false"/>
          <w:color w:val="000000"/>
        </w:rPr>
        <w:t xml:space="preserve"> 2. Порядок и периодичность проведения</w:t>
      </w:r>
      <w:r>
        <w:br/>
      </w:r>
      <w:r>
        <w:rPr>
          <w:rFonts w:ascii="Times New Roman"/>
          <w:b/>
          <w:i w:val="false"/>
          <w:color w:val="000000"/>
        </w:rPr>
        <w:t>скрининговых осмотров целевых групп населения</w:t>
      </w:r>
    </w:p>
    <w:bookmarkEnd w:id="22"/>
    <w:bookmarkStart w:name="z28" w:id="23"/>
    <w:p>
      <w:pPr>
        <w:spacing w:after="0"/>
        <w:ind w:left="0"/>
        <w:jc w:val="both"/>
      </w:pPr>
      <w:r>
        <w:rPr>
          <w:rFonts w:ascii="Times New Roman"/>
          <w:b w:val="false"/>
          <w:i w:val="false"/>
          <w:color w:val="000000"/>
          <w:sz w:val="28"/>
        </w:rPr>
        <w:t>
      7. Скрининговые осмотры с последующим динамическим наблюдением и оздоровлением осуществляют организации здравоохранения, оказывающие первичную медико-санитарную помощь (далее – организации ПМСП):</w:t>
      </w:r>
    </w:p>
    <w:bookmarkEnd w:id="23"/>
    <w:bookmarkStart w:name="z29" w:id="24"/>
    <w:p>
      <w:pPr>
        <w:spacing w:after="0"/>
        <w:ind w:left="0"/>
        <w:jc w:val="both"/>
      </w:pPr>
      <w:r>
        <w:rPr>
          <w:rFonts w:ascii="Times New Roman"/>
          <w:b w:val="false"/>
          <w:i w:val="false"/>
          <w:color w:val="000000"/>
          <w:sz w:val="28"/>
        </w:rPr>
        <w:t>
      1) для городского населения – городские поликлиники, врачебные амбулатории, ведомственные медико-санитарные части и поликлиники независимо от форм собственности;</w:t>
      </w:r>
    </w:p>
    <w:bookmarkEnd w:id="24"/>
    <w:bookmarkStart w:name="z30" w:id="25"/>
    <w:p>
      <w:pPr>
        <w:spacing w:after="0"/>
        <w:ind w:left="0"/>
        <w:jc w:val="both"/>
      </w:pPr>
      <w:r>
        <w:rPr>
          <w:rFonts w:ascii="Times New Roman"/>
          <w:b w:val="false"/>
          <w:i w:val="false"/>
          <w:color w:val="000000"/>
          <w:sz w:val="28"/>
        </w:rPr>
        <w:t>
      2) для сельского населения – медицинские пункты, фельдшерско-акушерские пункты, врачебные амбулатории, районные поликлиники, а также мобильные бригады (передвижные медицинские комплексы на базе специального автотранспорта и железнодорожного транспорта (поезд)).</w:t>
      </w:r>
    </w:p>
    <w:bookmarkEnd w:id="25"/>
    <w:bookmarkStart w:name="z31" w:id="26"/>
    <w:p>
      <w:pPr>
        <w:spacing w:after="0"/>
        <w:ind w:left="0"/>
        <w:jc w:val="both"/>
      </w:pPr>
      <w:r>
        <w:rPr>
          <w:rFonts w:ascii="Times New Roman"/>
          <w:b w:val="false"/>
          <w:i w:val="false"/>
          <w:color w:val="000000"/>
          <w:sz w:val="28"/>
        </w:rPr>
        <w:t>
      8. Организации ПМСП:</w:t>
      </w:r>
    </w:p>
    <w:bookmarkEnd w:id="26"/>
    <w:bookmarkStart w:name="z32" w:id="27"/>
    <w:p>
      <w:pPr>
        <w:spacing w:after="0"/>
        <w:ind w:left="0"/>
        <w:jc w:val="both"/>
      </w:pPr>
      <w:r>
        <w:rPr>
          <w:rFonts w:ascii="Times New Roman"/>
          <w:b w:val="false"/>
          <w:i w:val="false"/>
          <w:color w:val="000000"/>
          <w:sz w:val="28"/>
        </w:rPr>
        <w:t>
      1) осуществляют учет прикрепленного к обслуживаемой территории населения, формируют целевые группы лиц, подлежащих скрининговым осмотрам;</w:t>
      </w:r>
    </w:p>
    <w:bookmarkEnd w:id="27"/>
    <w:bookmarkStart w:name="z33" w:id="28"/>
    <w:p>
      <w:pPr>
        <w:spacing w:after="0"/>
        <w:ind w:left="0"/>
        <w:jc w:val="both"/>
      </w:pPr>
      <w:r>
        <w:rPr>
          <w:rFonts w:ascii="Times New Roman"/>
          <w:b w:val="false"/>
          <w:i w:val="false"/>
          <w:color w:val="000000"/>
          <w:sz w:val="28"/>
        </w:rPr>
        <w:t>
      2) обеспечивают преемственность с профильными медицинскими организациями для проведения данных осмотров;</w:t>
      </w:r>
    </w:p>
    <w:bookmarkEnd w:id="28"/>
    <w:bookmarkStart w:name="z34" w:id="29"/>
    <w:p>
      <w:pPr>
        <w:spacing w:after="0"/>
        <w:ind w:left="0"/>
        <w:jc w:val="both"/>
      </w:pPr>
      <w:r>
        <w:rPr>
          <w:rFonts w:ascii="Times New Roman"/>
          <w:b w:val="false"/>
          <w:i w:val="false"/>
          <w:color w:val="000000"/>
          <w:sz w:val="28"/>
        </w:rPr>
        <w:t>
      3) информируют население о необходимости прохождения скрининговых осмотров;</w:t>
      </w:r>
    </w:p>
    <w:bookmarkEnd w:id="29"/>
    <w:bookmarkStart w:name="z35" w:id="30"/>
    <w:p>
      <w:pPr>
        <w:spacing w:after="0"/>
        <w:ind w:left="0"/>
        <w:jc w:val="both"/>
      </w:pPr>
      <w:r>
        <w:rPr>
          <w:rFonts w:ascii="Times New Roman"/>
          <w:b w:val="false"/>
          <w:i w:val="false"/>
          <w:color w:val="000000"/>
          <w:sz w:val="28"/>
        </w:rPr>
        <w:t>
      4) заполняют учетные формы с внесением результатов осмотров в медицинскую карту амбулаторного пациента или историю развития ребенка;</w:t>
      </w:r>
    </w:p>
    <w:bookmarkEnd w:id="30"/>
    <w:bookmarkStart w:name="z36" w:id="31"/>
    <w:p>
      <w:pPr>
        <w:spacing w:after="0"/>
        <w:ind w:left="0"/>
        <w:jc w:val="both"/>
      </w:pPr>
      <w:r>
        <w:rPr>
          <w:rFonts w:ascii="Times New Roman"/>
          <w:b w:val="false"/>
          <w:i w:val="false"/>
          <w:color w:val="000000"/>
          <w:sz w:val="28"/>
        </w:rPr>
        <w:t>
      5) проводят ежемесячный анализ проведенных скрининговых осмотров с разработкой мероприятий по укреплению здоровья прикрепленного населения;</w:t>
      </w:r>
    </w:p>
    <w:bookmarkEnd w:id="31"/>
    <w:bookmarkStart w:name="z37" w:id="32"/>
    <w:p>
      <w:pPr>
        <w:spacing w:after="0"/>
        <w:ind w:left="0"/>
        <w:jc w:val="both"/>
      </w:pPr>
      <w:r>
        <w:rPr>
          <w:rFonts w:ascii="Times New Roman"/>
          <w:b w:val="false"/>
          <w:i w:val="false"/>
          <w:color w:val="000000"/>
          <w:sz w:val="28"/>
        </w:rPr>
        <w:t>
      6) формируют электронную базу скрининговых осмотров и направляют ежемесячно в территориальный медицинский информационно-аналитический центр.</w:t>
      </w:r>
    </w:p>
    <w:bookmarkEnd w:id="32"/>
    <w:bookmarkStart w:name="z38" w:id="33"/>
    <w:p>
      <w:pPr>
        <w:spacing w:after="0"/>
        <w:ind w:left="0"/>
        <w:jc w:val="both"/>
      </w:pPr>
      <w:r>
        <w:rPr>
          <w:rFonts w:ascii="Times New Roman"/>
          <w:b w:val="false"/>
          <w:i w:val="false"/>
          <w:color w:val="000000"/>
          <w:sz w:val="28"/>
        </w:rPr>
        <w:t xml:space="preserve">
      9. Скрининговые осмотры целевых групп детского населения в различные возрастные периоды жизни (осмотр специалистами, лабораторные и инструментальные исследования) осуществляются в соответствии с периодичностью проведения скрининговых осмотров целевых групп детского населения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3"/>
    <w:bookmarkStart w:name="z39" w:id="34"/>
    <w:p>
      <w:pPr>
        <w:spacing w:after="0"/>
        <w:ind w:left="0"/>
        <w:jc w:val="both"/>
      </w:pPr>
      <w:r>
        <w:rPr>
          <w:rFonts w:ascii="Times New Roman"/>
          <w:b w:val="false"/>
          <w:i w:val="false"/>
          <w:color w:val="000000"/>
          <w:sz w:val="28"/>
        </w:rPr>
        <w:t>
      10. Скрининговые осмотры организованных детей дошкольного возраста, школьников, учащихся и студентов средне-специальных и высших учебных заведений до 18 лет проводятся специалистами территориальной организации ПМСП с выездом на территории детских дошкольных учреждений и организаций образования.</w:t>
      </w:r>
    </w:p>
    <w:bookmarkEnd w:id="34"/>
    <w:bookmarkStart w:name="z40" w:id="35"/>
    <w:p>
      <w:pPr>
        <w:spacing w:after="0"/>
        <w:ind w:left="0"/>
        <w:jc w:val="both"/>
      </w:pPr>
      <w:r>
        <w:rPr>
          <w:rFonts w:ascii="Times New Roman"/>
          <w:b w:val="false"/>
          <w:i w:val="false"/>
          <w:color w:val="000000"/>
          <w:sz w:val="28"/>
        </w:rPr>
        <w:t>
      11. Организация проведения скрининговых осмотров целевых групп организованных детей дошкольного возраста, учащихся и студентов средне-специальных и высших учебных заведений до 18 лет осуществляется медицинским работником дошкольного учреждения и организации образования (врач, фельдшер или медицинская сестра).</w:t>
      </w:r>
    </w:p>
    <w:bookmarkEnd w:id="35"/>
    <w:bookmarkStart w:name="z41" w:id="36"/>
    <w:p>
      <w:pPr>
        <w:spacing w:after="0"/>
        <w:ind w:left="0"/>
        <w:jc w:val="both"/>
      </w:pPr>
      <w:r>
        <w:rPr>
          <w:rFonts w:ascii="Times New Roman"/>
          <w:b w:val="false"/>
          <w:i w:val="false"/>
          <w:color w:val="000000"/>
          <w:sz w:val="28"/>
        </w:rPr>
        <w:t>
      12. Скрининговые осмотры неорганизованных детей дошкольного возраста проводятся в организации ПМСП по месту прикрепления.</w:t>
      </w:r>
    </w:p>
    <w:bookmarkEnd w:id="36"/>
    <w:bookmarkStart w:name="z42" w:id="37"/>
    <w:p>
      <w:pPr>
        <w:spacing w:after="0"/>
        <w:ind w:left="0"/>
        <w:jc w:val="both"/>
      </w:pPr>
      <w:r>
        <w:rPr>
          <w:rFonts w:ascii="Times New Roman"/>
          <w:b w:val="false"/>
          <w:i w:val="false"/>
          <w:color w:val="000000"/>
          <w:sz w:val="28"/>
        </w:rPr>
        <w:t>
      13. Дети, находящиеся в домах ребенка, детских домах, школах-интернатах, специализированных интернатах, домах юношества проходят скрининговые осмотры дважды в год.</w:t>
      </w:r>
    </w:p>
    <w:bookmarkEnd w:id="37"/>
    <w:bookmarkStart w:name="z43" w:id="38"/>
    <w:p>
      <w:pPr>
        <w:spacing w:after="0"/>
        <w:ind w:left="0"/>
        <w:jc w:val="both"/>
      </w:pPr>
      <w:r>
        <w:rPr>
          <w:rFonts w:ascii="Times New Roman"/>
          <w:b w:val="false"/>
          <w:i w:val="false"/>
          <w:color w:val="000000"/>
          <w:sz w:val="28"/>
        </w:rPr>
        <w:t xml:space="preserve">
      14. Новорожденным и детям раннего возраста скрининговый осмотр на выявление нарушений слуха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сентября 2009 года № 478 "Об утверждении Правил организации скрининга и диагностики нарушений слуха у детей раннего возраста", зарегистрированным в Реестре государственной регистрации нормативных правовых актов за № 5828.</w:t>
      </w:r>
    </w:p>
    <w:bookmarkEnd w:id="38"/>
    <w:bookmarkStart w:name="z44" w:id="39"/>
    <w:p>
      <w:pPr>
        <w:spacing w:after="0"/>
        <w:ind w:left="0"/>
        <w:jc w:val="both"/>
      </w:pPr>
      <w:r>
        <w:rPr>
          <w:rFonts w:ascii="Times New Roman"/>
          <w:b w:val="false"/>
          <w:i w:val="false"/>
          <w:color w:val="000000"/>
          <w:sz w:val="28"/>
        </w:rPr>
        <w:t>
      15. Детям в возрасте от трех до четырех месяцев по показаниям проводится ультразвуковое исследование тазобедренных суставов с целью раннего выявления дисплазии тазобедренных суставов и врожденного вывиха бедра.</w:t>
      </w:r>
    </w:p>
    <w:bookmarkEnd w:id="39"/>
    <w:bookmarkStart w:name="z45" w:id="40"/>
    <w:p>
      <w:pPr>
        <w:spacing w:after="0"/>
        <w:ind w:left="0"/>
        <w:jc w:val="both"/>
      </w:pPr>
      <w:r>
        <w:rPr>
          <w:rFonts w:ascii="Times New Roman"/>
          <w:b w:val="false"/>
          <w:i w:val="false"/>
          <w:color w:val="000000"/>
          <w:sz w:val="28"/>
        </w:rPr>
        <w:t>
      16. По окончании скринингового осмотра детей и подростков врачом педиатром, подростковым врачом, врачом общей практики, с учетом заключения профильных специалистов и абораторно-диагностических исследований, проводится комплексная оценка состояния здоровья детей с определением следующих "групп здоровья":</w:t>
      </w:r>
    </w:p>
    <w:bookmarkEnd w:id="40"/>
    <w:p>
      <w:pPr>
        <w:spacing w:after="0"/>
        <w:ind w:left="0"/>
        <w:jc w:val="both"/>
      </w:pPr>
      <w:r>
        <w:rPr>
          <w:rFonts w:ascii="Times New Roman"/>
          <w:b w:val="false"/>
          <w:i w:val="false"/>
          <w:color w:val="000000"/>
          <w:sz w:val="28"/>
        </w:rPr>
        <w:t>
      I группа – здоровые дети;</w:t>
      </w:r>
    </w:p>
    <w:p>
      <w:pPr>
        <w:spacing w:after="0"/>
        <w:ind w:left="0"/>
        <w:jc w:val="both"/>
      </w:pPr>
      <w:r>
        <w:rPr>
          <w:rFonts w:ascii="Times New Roman"/>
          <w:b w:val="false"/>
          <w:i w:val="false"/>
          <w:color w:val="000000"/>
          <w:sz w:val="28"/>
        </w:rPr>
        <w:t>
      II группа – здоровые дети, но имеющие функциональные и некоторые морфологические отклонения, а также сниженную сопротивляемость к острым и хроническим заболеваниям, с наличием факторов риска;</w:t>
      </w:r>
    </w:p>
    <w:p>
      <w:pPr>
        <w:spacing w:after="0"/>
        <w:ind w:left="0"/>
        <w:jc w:val="both"/>
      </w:pPr>
      <w:r>
        <w:rPr>
          <w:rFonts w:ascii="Times New Roman"/>
          <w:b w:val="false"/>
          <w:i w:val="false"/>
          <w:color w:val="000000"/>
          <w:sz w:val="28"/>
        </w:rPr>
        <w:t>
      III группа – дети, больные хроническими заболеваниями в состоянии компенсации, с сохраненными функциональными возможностями организма;</w:t>
      </w:r>
    </w:p>
    <w:p>
      <w:pPr>
        <w:spacing w:after="0"/>
        <w:ind w:left="0"/>
        <w:jc w:val="both"/>
      </w:pPr>
      <w:r>
        <w:rPr>
          <w:rFonts w:ascii="Times New Roman"/>
          <w:b w:val="false"/>
          <w:i w:val="false"/>
          <w:color w:val="000000"/>
          <w:sz w:val="28"/>
        </w:rPr>
        <w:t>
      IV группа – дети с хроническими заболеваниями в состоянии субкомпенсации, со сниженными функциональными возможностями;</w:t>
      </w:r>
    </w:p>
    <w:p>
      <w:pPr>
        <w:spacing w:after="0"/>
        <w:ind w:left="0"/>
        <w:jc w:val="both"/>
      </w:pPr>
      <w:r>
        <w:rPr>
          <w:rFonts w:ascii="Times New Roman"/>
          <w:b w:val="false"/>
          <w:i w:val="false"/>
          <w:color w:val="000000"/>
          <w:sz w:val="28"/>
        </w:rPr>
        <w:t>
      V группа – дети с хроническими заболеваниями в состоянии декомпенсации, со значительно сниженными функциональными возможностями организма.</w:t>
      </w:r>
    </w:p>
    <w:bookmarkStart w:name="z46" w:id="41"/>
    <w:p>
      <w:pPr>
        <w:spacing w:after="0"/>
        <w:ind w:left="0"/>
        <w:jc w:val="both"/>
      </w:pPr>
      <w:r>
        <w:rPr>
          <w:rFonts w:ascii="Times New Roman"/>
          <w:b w:val="false"/>
          <w:i w:val="false"/>
          <w:color w:val="000000"/>
          <w:sz w:val="28"/>
        </w:rPr>
        <w:t>
      17. Дети, относящиеся к II, III, IV, V группам подлежат динамическому наблюдению и оздоровлению у специалистов ПМСП или специалистов соответствующего профиля.</w:t>
      </w:r>
    </w:p>
    <w:bookmarkEnd w:id="41"/>
    <w:bookmarkStart w:name="z47" w:id="42"/>
    <w:p>
      <w:pPr>
        <w:spacing w:after="0"/>
        <w:ind w:left="0"/>
        <w:jc w:val="both"/>
      </w:pPr>
      <w:r>
        <w:rPr>
          <w:rFonts w:ascii="Times New Roman"/>
          <w:b w:val="false"/>
          <w:i w:val="false"/>
          <w:color w:val="000000"/>
          <w:sz w:val="28"/>
        </w:rPr>
        <w:t xml:space="preserve">
      18. Результаты скрининговых осмотров целевых групп детского населения вносятся в статистическую карту профилактического медицинского осмотра (скрининга) ребенка (форма 025-07/у), утвержденную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зарегистрированным в Реестре государственной регистрации нормативных правовых актов за № 6697 (далее – Приказ № 907).</w:t>
      </w:r>
    </w:p>
    <w:bookmarkEnd w:id="42"/>
    <w:bookmarkStart w:name="z48" w:id="43"/>
    <w:p>
      <w:pPr>
        <w:spacing w:after="0"/>
        <w:ind w:left="0"/>
        <w:jc w:val="both"/>
      </w:pPr>
      <w:r>
        <w:rPr>
          <w:rFonts w:ascii="Times New Roman"/>
          <w:b w:val="false"/>
          <w:i w:val="false"/>
          <w:color w:val="000000"/>
          <w:sz w:val="28"/>
        </w:rPr>
        <w:t>
      19. По результатам скринингового осмотра на каждого ребенка медицинским работником оформляется эпикриз и заключение с указанием группы здоровья, оценкой физического и нервно-психического развития, остроты зрения и слуха, рекомендациями по физкультурной группе (основная или специальная группа).</w:t>
      </w:r>
    </w:p>
    <w:bookmarkEnd w:id="43"/>
    <w:p>
      <w:pPr>
        <w:spacing w:after="0"/>
        <w:ind w:left="0"/>
        <w:jc w:val="both"/>
      </w:pPr>
      <w:r>
        <w:rPr>
          <w:rFonts w:ascii="Times New Roman"/>
          <w:b w:val="false"/>
          <w:i w:val="false"/>
          <w:color w:val="000000"/>
          <w:sz w:val="28"/>
        </w:rPr>
        <w:t>
      Результаты скринингового осмотра детей (копия эпикриза и заключения) в обязательном порядке доводятся до сведения родителей.</w:t>
      </w:r>
    </w:p>
    <w:bookmarkStart w:name="z49" w:id="44"/>
    <w:p>
      <w:pPr>
        <w:spacing w:after="0"/>
        <w:ind w:left="0"/>
        <w:jc w:val="both"/>
      </w:pPr>
      <w:r>
        <w:rPr>
          <w:rFonts w:ascii="Times New Roman"/>
          <w:b w:val="false"/>
          <w:i w:val="false"/>
          <w:color w:val="000000"/>
          <w:sz w:val="28"/>
        </w:rPr>
        <w:t xml:space="preserve">
      20. Скрининговые осмотры целевых групп взрослого населения в различные возрастные периоды жизни (осмотр специалистами, лабораторные и инструментальные исследования) осуществляются в соответствии с периодичностью проведения скрининговых осмотров целевых групп взрослого населения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50" w:id="45"/>
    <w:p>
      <w:pPr>
        <w:spacing w:after="0"/>
        <w:ind w:left="0"/>
        <w:jc w:val="both"/>
      </w:pPr>
      <w:r>
        <w:rPr>
          <w:rFonts w:ascii="Times New Roman"/>
          <w:b w:val="false"/>
          <w:i w:val="false"/>
          <w:color w:val="000000"/>
          <w:sz w:val="28"/>
        </w:rPr>
        <w:t>
      21. Скрининговым осмотрам не подлежат лица, находящиеся на диспансерном учете, по профилю заболевания которого проводится данный скрининговый осмотр.</w:t>
      </w:r>
    </w:p>
    <w:bookmarkEnd w:id="45"/>
    <w:bookmarkStart w:name="z51" w:id="46"/>
    <w:p>
      <w:pPr>
        <w:spacing w:after="0"/>
        <w:ind w:left="0"/>
        <w:jc w:val="both"/>
      </w:pPr>
      <w:r>
        <w:rPr>
          <w:rFonts w:ascii="Times New Roman"/>
          <w:b w:val="false"/>
          <w:i w:val="false"/>
          <w:color w:val="000000"/>
          <w:sz w:val="28"/>
        </w:rPr>
        <w:t>
      22. Дополнительные диагностические исследования и осмотры профильных специалистов проводятся по показаниям.</w:t>
      </w:r>
    </w:p>
    <w:bookmarkEnd w:id="46"/>
    <w:bookmarkStart w:name="z52" w:id="47"/>
    <w:p>
      <w:pPr>
        <w:spacing w:after="0"/>
        <w:ind w:left="0"/>
        <w:jc w:val="both"/>
      </w:pPr>
      <w:r>
        <w:rPr>
          <w:rFonts w:ascii="Times New Roman"/>
          <w:b w:val="false"/>
          <w:i w:val="false"/>
          <w:color w:val="000000"/>
          <w:sz w:val="28"/>
        </w:rPr>
        <w:t xml:space="preserve">
      23. Результаты скрининговых осмотров целевых групп взрослого населения вносятся медицинскими работниками организаций ПМСП в статистическую карту профилактического медицинского осмотра (скрининга) амбулаторного пациента (форма 025-08/у), утвержденную Приказом </w:t>
      </w:r>
      <w:r>
        <w:rPr>
          <w:rFonts w:ascii="Times New Roman"/>
          <w:b w:val="false"/>
          <w:i w:val="false"/>
          <w:color w:val="000000"/>
          <w:sz w:val="28"/>
        </w:rPr>
        <w:t>№ 907</w:t>
      </w:r>
      <w:r>
        <w:rPr>
          <w:rFonts w:ascii="Times New Roman"/>
          <w:b w:val="false"/>
          <w:i w:val="false"/>
          <w:color w:val="000000"/>
          <w:sz w:val="28"/>
        </w:rPr>
        <w:t xml:space="preserve">, в соответствии с Алгоритмами этапности проведения скрининговых осмотров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7"/>
    <w:bookmarkStart w:name="z53" w:id="48"/>
    <w:p>
      <w:pPr>
        <w:spacing w:after="0"/>
        <w:ind w:left="0"/>
        <w:jc w:val="both"/>
      </w:pPr>
      <w:r>
        <w:rPr>
          <w:rFonts w:ascii="Times New Roman"/>
          <w:b w:val="false"/>
          <w:i w:val="false"/>
          <w:color w:val="000000"/>
          <w:sz w:val="28"/>
        </w:rPr>
        <w:t>
      24. По окончании скринингового осмотра врач организации ПМСП/отделения профилактики и социально-психологической помощи организации ПМСП подразделяет взрослое население, с учетом заключения профильных специалистов и лабораторно-диагностических исследований, на следующие "группы здоровья":</w:t>
      </w:r>
    </w:p>
    <w:bookmarkEnd w:id="48"/>
    <w:bookmarkStart w:name="z54" w:id="49"/>
    <w:p>
      <w:pPr>
        <w:spacing w:after="0"/>
        <w:ind w:left="0"/>
        <w:jc w:val="both"/>
      </w:pPr>
      <w:r>
        <w:rPr>
          <w:rFonts w:ascii="Times New Roman"/>
          <w:b w:val="false"/>
          <w:i w:val="false"/>
          <w:color w:val="000000"/>
          <w:sz w:val="28"/>
        </w:rPr>
        <w:t>
      1) здоровые без факторов риска – лица, не предъявляющие никаких жалоб и у которых в анамнезе и во время осмотра не выявлены хронические заболевания, факторы риска или нарушения функций отдельных органов и систем – диспансерная группа IА (далее – Д-IА);</w:t>
      </w:r>
    </w:p>
    <w:bookmarkEnd w:id="49"/>
    <w:bookmarkStart w:name="z55" w:id="50"/>
    <w:p>
      <w:pPr>
        <w:spacing w:after="0"/>
        <w:ind w:left="0"/>
        <w:jc w:val="both"/>
      </w:pPr>
      <w:r>
        <w:rPr>
          <w:rFonts w:ascii="Times New Roman"/>
          <w:b w:val="false"/>
          <w:i w:val="false"/>
          <w:color w:val="000000"/>
          <w:sz w:val="28"/>
        </w:rPr>
        <w:t>
      2) здоровые с факторами риска – лица с выявленными факторами риска, "пограничными" состояниями, нуждающиеся в наблюдении и профилактическом вмешательстве (лица,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 не влияющие на функциональную деятельность организма),– диспансерная группа IБ (далее – Д-IБ);</w:t>
      </w:r>
    </w:p>
    <w:bookmarkEnd w:id="50"/>
    <w:bookmarkStart w:name="z56" w:id="51"/>
    <w:p>
      <w:pPr>
        <w:spacing w:after="0"/>
        <w:ind w:left="0"/>
        <w:jc w:val="both"/>
      </w:pPr>
      <w:r>
        <w:rPr>
          <w:rFonts w:ascii="Times New Roman"/>
          <w:b w:val="false"/>
          <w:i w:val="false"/>
          <w:color w:val="000000"/>
          <w:sz w:val="28"/>
        </w:rPr>
        <w:t>
      3) практически здоровые – лица, имеющие в анамнезе острое и хроническое заболевание без обострений в течение последних нескольких лет, – диспансерная группа II (далее – Д-II);</w:t>
      </w:r>
    </w:p>
    <w:bookmarkEnd w:id="51"/>
    <w:p>
      <w:pPr>
        <w:spacing w:after="0"/>
        <w:ind w:left="0"/>
        <w:jc w:val="both"/>
      </w:pPr>
      <w:r>
        <w:rPr>
          <w:rFonts w:ascii="Times New Roman"/>
          <w:b w:val="false"/>
          <w:i w:val="false"/>
          <w:color w:val="000000"/>
          <w:sz w:val="28"/>
        </w:rPr>
        <w:t>
      4) больные – лица, нуждающиеся в лечении, – диспансерная группа III (далее – Д-III).</w:t>
      </w:r>
    </w:p>
    <w:bookmarkStart w:name="z57" w:id="52"/>
    <w:p>
      <w:pPr>
        <w:spacing w:after="0"/>
        <w:ind w:left="0"/>
        <w:jc w:val="both"/>
      </w:pPr>
      <w:r>
        <w:rPr>
          <w:rFonts w:ascii="Times New Roman"/>
          <w:b w:val="false"/>
          <w:i w:val="false"/>
          <w:color w:val="000000"/>
          <w:sz w:val="28"/>
        </w:rPr>
        <w:t>
      25. Здоровым (Д-IА, Д-IБ) и практически здоровым (Д-II) лицам взрослого населения рекомендуется:</w:t>
      </w:r>
    </w:p>
    <w:bookmarkEnd w:id="52"/>
    <w:p>
      <w:pPr>
        <w:spacing w:after="0"/>
        <w:ind w:left="0"/>
        <w:jc w:val="both"/>
      </w:pPr>
      <w:r>
        <w:rPr>
          <w:rFonts w:ascii="Times New Roman"/>
          <w:b w:val="false"/>
          <w:i w:val="false"/>
          <w:color w:val="000000"/>
          <w:sz w:val="28"/>
        </w:rPr>
        <w:t xml:space="preserve">
      проведение последующего скринингового осмотра в организации ПМСП в соответствии с периодичностью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направление для оздоровления в кабинеты здорового образа жизни, профильные школы здоровья, антитабачный центр, молодежные центры здоровья организаций ПМСП и службы здорового образа жизни.</w:t>
      </w:r>
    </w:p>
    <w:bookmarkStart w:name="z58" w:id="53"/>
    <w:p>
      <w:pPr>
        <w:spacing w:after="0"/>
        <w:ind w:left="0"/>
        <w:jc w:val="both"/>
      </w:pPr>
      <w:r>
        <w:rPr>
          <w:rFonts w:ascii="Times New Roman"/>
          <w:b w:val="false"/>
          <w:i w:val="false"/>
          <w:color w:val="000000"/>
          <w:sz w:val="28"/>
        </w:rPr>
        <w:t>
      26. Выявленные в ходе скрининговых осмотров лица с хроническими заболеваниями и/или перенесшие отдельные острые заболевания, подлежат диспансерному учету и динамическому наблюдению с последующим оздоровлением и проведением комплекса медицинских, социальных, физкультурно-оздоровительных мероприятий, направленных на восстановление и укрепление здоровья.</w:t>
      </w:r>
    </w:p>
    <w:bookmarkEnd w:id="53"/>
    <w:bookmarkStart w:name="z59" w:id="54"/>
    <w:p>
      <w:pPr>
        <w:spacing w:after="0"/>
        <w:ind w:left="0"/>
        <w:jc w:val="both"/>
      </w:pPr>
      <w:r>
        <w:rPr>
          <w:rFonts w:ascii="Times New Roman"/>
          <w:b w:val="false"/>
          <w:i w:val="false"/>
          <w:color w:val="000000"/>
          <w:sz w:val="28"/>
        </w:rPr>
        <w:t xml:space="preserve">
      27. Этапность проведения скрининговых осмотров детского и взрослого населения осуществляется в соответствии с Алгоритмами этапности проведения скрининговых осмотров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4"/>
    <w:bookmarkStart w:name="z60" w:id="55"/>
    <w:p>
      <w:pPr>
        <w:spacing w:after="0"/>
        <w:ind w:left="0"/>
        <w:jc w:val="left"/>
      </w:pPr>
      <w:r>
        <w:rPr>
          <w:rFonts w:ascii="Times New Roman"/>
          <w:b/>
          <w:i w:val="false"/>
          <w:color w:val="000000"/>
        </w:rPr>
        <w:t xml:space="preserve"> 3. Порядок предоставления информации</w:t>
      </w:r>
      <w:r>
        <w:br/>
      </w:r>
      <w:r>
        <w:rPr>
          <w:rFonts w:ascii="Times New Roman"/>
          <w:b/>
          <w:i w:val="false"/>
          <w:color w:val="000000"/>
        </w:rPr>
        <w:t>о результатах скрининговых осмотров</w:t>
      </w:r>
    </w:p>
    <w:bookmarkEnd w:id="55"/>
    <w:bookmarkStart w:name="z61" w:id="56"/>
    <w:p>
      <w:pPr>
        <w:spacing w:after="0"/>
        <w:ind w:left="0"/>
        <w:jc w:val="both"/>
      </w:pPr>
      <w:r>
        <w:rPr>
          <w:rFonts w:ascii="Times New Roman"/>
          <w:b w:val="false"/>
          <w:i w:val="false"/>
          <w:color w:val="000000"/>
          <w:sz w:val="28"/>
        </w:rPr>
        <w:t>
      28. Территориальный медицинский информационно-аналитический центр ежеквартально предоставляет сводные данные по скрининговым осмотрам в республиканский медицинский информационно-аналитический центр (далее – РИАЦ), службу формирования здорового образа жизни (районный, городской областной центры формирования здорового образа жизни), профильные службы и Управление.</w:t>
      </w:r>
    </w:p>
    <w:bookmarkEnd w:id="56"/>
    <w:bookmarkStart w:name="z62" w:id="57"/>
    <w:p>
      <w:pPr>
        <w:spacing w:after="0"/>
        <w:ind w:left="0"/>
        <w:jc w:val="both"/>
      </w:pPr>
      <w:r>
        <w:rPr>
          <w:rFonts w:ascii="Times New Roman"/>
          <w:b w:val="false"/>
          <w:i w:val="false"/>
          <w:color w:val="000000"/>
          <w:sz w:val="28"/>
        </w:rPr>
        <w:t>
      29. Служба формирования здорового образа жизни осуществляет мониторинг и анализ всех проведенных скрининговых осмотров совместно с профильными службами, внештатными специалистами с ежеквартальным предоставлением аналитического материала в Управление и Республиканское государственное предприятие на праве хозяйственного ведения Министерства здравоохранения Республики Казахстан "Национальный центр проблем формирования здорового образа жизни" (далее – НЦПФЗОЖ).</w:t>
      </w:r>
    </w:p>
    <w:bookmarkEnd w:id="57"/>
    <w:bookmarkStart w:name="z63" w:id="58"/>
    <w:p>
      <w:pPr>
        <w:spacing w:after="0"/>
        <w:ind w:left="0"/>
        <w:jc w:val="both"/>
      </w:pPr>
      <w:r>
        <w:rPr>
          <w:rFonts w:ascii="Times New Roman"/>
          <w:b w:val="false"/>
          <w:i w:val="false"/>
          <w:color w:val="000000"/>
          <w:sz w:val="28"/>
        </w:rPr>
        <w:t xml:space="preserve">
      30. РИАЦ ежеквартально предоставляет выходные формы по результатам проведения скрининговых осмотров в НЦПФЗОЖ и другие профильные республиканские организации здравоохранения, ответственные за методическое руководство и анализ скрининговых осмотров целевых групп населения,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8"/>
    <w:bookmarkStart w:name="z64" w:id="59"/>
    <w:p>
      <w:pPr>
        <w:spacing w:after="0"/>
        <w:ind w:left="0"/>
        <w:jc w:val="both"/>
      </w:pPr>
      <w:r>
        <w:rPr>
          <w:rFonts w:ascii="Times New Roman"/>
          <w:b w:val="false"/>
          <w:i w:val="false"/>
          <w:color w:val="000000"/>
          <w:sz w:val="28"/>
        </w:rPr>
        <w:t>
      31. НЦПФЗОЖ осуществляет координацию, методическое сопровождение, анализ и оценку результатов скрининговых осмотров с предоставлением сводных аналитических ежеквартальных и годового заключительного отчетов в Министерство здравоохранения Республики Казахстан.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профилактических медицинских</w:t>
            </w:r>
            <w:r>
              <w:br/>
            </w:r>
            <w:r>
              <w:rPr>
                <w:rFonts w:ascii="Times New Roman"/>
                <w:b w:val="false"/>
                <w:i w:val="false"/>
                <w:color w:val="000000"/>
                <w:sz w:val="20"/>
              </w:rPr>
              <w:t>осмотров целевых групп населения</w:t>
            </w:r>
          </w:p>
        </w:tc>
      </w:tr>
    </w:tbl>
    <w:bookmarkStart w:name="z144" w:id="60"/>
    <w:p>
      <w:pPr>
        <w:spacing w:after="0"/>
        <w:ind w:left="0"/>
        <w:jc w:val="left"/>
      </w:pPr>
      <w:r>
        <w:rPr>
          <w:rFonts w:ascii="Times New Roman"/>
          <w:b/>
          <w:i w:val="false"/>
          <w:color w:val="000000"/>
        </w:rPr>
        <w:t xml:space="preserve">  Периодичность проведения скрининговых осмотров</w:t>
      </w:r>
      <w:r>
        <w:br/>
      </w:r>
      <w:r>
        <w:rPr>
          <w:rFonts w:ascii="Times New Roman"/>
          <w:b/>
          <w:i w:val="false"/>
          <w:color w:val="000000"/>
        </w:rPr>
        <w:t>целевых групп детского населения</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2961"/>
        <w:gridCol w:w="1260"/>
        <w:gridCol w:w="2323"/>
        <w:gridCol w:w="819"/>
        <w:gridCol w:w="1260"/>
        <w:gridCol w:w="819"/>
        <w:gridCol w:w="906"/>
      </w:tblGrid>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w:t>
            </w:r>
          </w:p>
          <w:p>
            <w:pPr>
              <w:spacing w:after="20"/>
              <w:ind w:left="20"/>
              <w:jc w:val="both"/>
            </w:pPr>
            <w:r>
              <w:rPr>
                <w:rFonts w:ascii="Times New Roman"/>
                <w:b w:val="false"/>
                <w:i w:val="false"/>
                <w:color w:val="000000"/>
                <w:sz w:val="20"/>
              </w:rPr>
              <w:t>
(подрост-</w:t>
            </w:r>
          </w:p>
          <w:p>
            <w:pPr>
              <w:spacing w:after="20"/>
              <w:ind w:left="20"/>
              <w:jc w:val="both"/>
            </w:pPr>
            <w:r>
              <w:rPr>
                <w:rFonts w:ascii="Times New Roman"/>
                <w:b w:val="false"/>
                <w:i w:val="false"/>
                <w:color w:val="000000"/>
                <w:sz w:val="20"/>
              </w:rPr>
              <w:t>
ковый</w:t>
            </w:r>
          </w:p>
          <w:p>
            <w:pPr>
              <w:spacing w:after="20"/>
              <w:ind w:left="20"/>
              <w:jc w:val="both"/>
            </w:pPr>
            <w:r>
              <w:rPr>
                <w:rFonts w:ascii="Times New Roman"/>
                <w:b w:val="false"/>
                <w:i w:val="false"/>
                <w:color w:val="000000"/>
                <w:sz w:val="20"/>
              </w:rPr>
              <w:t>
врач/ семейный</w:t>
            </w:r>
          </w:p>
          <w:p>
            <w:pPr>
              <w:spacing w:after="20"/>
              <w:ind w:left="20"/>
              <w:jc w:val="both"/>
            </w:pPr>
            <w:r>
              <w:rPr>
                <w:rFonts w:ascii="Times New Roman"/>
                <w:b w:val="false"/>
                <w:i w:val="false"/>
                <w:color w:val="000000"/>
                <w:sz w:val="20"/>
              </w:rPr>
              <w:t>
врач/врач общей</w:t>
            </w:r>
          </w:p>
          <w:p>
            <w:pPr>
              <w:spacing w:after="20"/>
              <w:ind w:left="20"/>
              <w:jc w:val="both"/>
            </w:pPr>
            <w:r>
              <w:rPr>
                <w:rFonts w:ascii="Times New Roman"/>
                <w:b w:val="false"/>
                <w:i w:val="false"/>
                <w:color w:val="000000"/>
                <w:sz w:val="20"/>
              </w:rPr>
              <w:t>
практики)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(ортопед)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w:t>
            </w:r>
          </w:p>
          <w:p>
            <w:pPr>
              <w:spacing w:after="20"/>
              <w:ind w:left="20"/>
              <w:jc w:val="both"/>
            </w:pPr>
            <w:r>
              <w:rPr>
                <w:rFonts w:ascii="Times New Roman"/>
                <w:b w:val="false"/>
                <w:i w:val="false"/>
                <w:color w:val="000000"/>
                <w:sz w:val="20"/>
              </w:rPr>
              <w:t>
ларинголог*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w:t>
            </w:r>
          </w:p>
          <w:p>
            <w:pPr>
              <w:spacing w:after="20"/>
              <w:ind w:left="20"/>
              <w:jc w:val="both"/>
            </w:pPr>
            <w:r>
              <w:rPr>
                <w:rFonts w:ascii="Times New Roman"/>
                <w:b w:val="false"/>
                <w:i w:val="false"/>
                <w:color w:val="000000"/>
                <w:sz w:val="20"/>
              </w:rPr>
              <w:t>
толог</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w:t>
            </w:r>
          </w:p>
          <w:p>
            <w:pPr>
              <w:spacing w:after="20"/>
              <w:ind w:left="20"/>
              <w:jc w:val="both"/>
            </w:pPr>
            <w:r>
              <w:rPr>
                <w:rFonts w:ascii="Times New Roman"/>
                <w:b w:val="false"/>
                <w:i w:val="false"/>
                <w:color w:val="000000"/>
                <w:sz w:val="20"/>
              </w:rPr>
              <w:t>
молог</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p>
            <w:pPr>
              <w:spacing w:after="20"/>
              <w:ind w:left="20"/>
              <w:jc w:val="both"/>
            </w:pPr>
            <w:r>
              <w:rPr>
                <w:rFonts w:ascii="Times New Roman"/>
                <w:b w:val="false"/>
                <w:i w:val="false"/>
                <w:color w:val="000000"/>
                <w:sz w:val="20"/>
              </w:rPr>
              <w:t>
кринолог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(юноши)</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 1 года – недоношенные дети с массой тела менее 1500 г при рождении</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(ежеме-</w:t>
            </w:r>
          </w:p>
          <w:p>
            <w:pPr>
              <w:spacing w:after="20"/>
              <w:ind w:left="20"/>
              <w:jc w:val="both"/>
            </w:pPr>
            <w:r>
              <w:rPr>
                <w:rFonts w:ascii="Times New Roman"/>
                <w:b w:val="false"/>
                <w:i w:val="false"/>
                <w:color w:val="000000"/>
                <w:sz w:val="20"/>
              </w:rPr>
              <w:t>
сячно)</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1, 3, 6</w:t>
            </w:r>
          </w:p>
          <w:p>
            <w:pPr>
              <w:spacing w:after="20"/>
              <w:ind w:left="20"/>
              <w:jc w:val="both"/>
            </w:pPr>
            <w:r>
              <w:rPr>
                <w:rFonts w:ascii="Times New Roman"/>
                <w:b w:val="false"/>
                <w:i w:val="false"/>
                <w:color w:val="000000"/>
                <w:sz w:val="20"/>
              </w:rPr>
              <w:t>
месяцев)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3</w:t>
            </w:r>
          </w:p>
          <w:p>
            <w:pPr>
              <w:spacing w:after="20"/>
              <w:ind w:left="20"/>
              <w:jc w:val="both"/>
            </w:pPr>
            <w:r>
              <w:rPr>
                <w:rFonts w:ascii="Times New Roman"/>
                <w:b w:val="false"/>
                <w:i w:val="false"/>
                <w:color w:val="000000"/>
                <w:sz w:val="20"/>
              </w:rPr>
              <w:t>
месяца)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1, 3,</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месяцев)</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3</w:t>
            </w:r>
          </w:p>
          <w:p>
            <w:pPr>
              <w:spacing w:after="20"/>
              <w:ind w:left="20"/>
              <w:jc w:val="both"/>
            </w:pPr>
            <w:r>
              <w:rPr>
                <w:rFonts w:ascii="Times New Roman"/>
                <w:b w:val="false"/>
                <w:i w:val="false"/>
                <w:color w:val="000000"/>
                <w:sz w:val="20"/>
              </w:rPr>
              <w:t>
месяца)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 1 года (с массой тела при рождении более 1500 г)</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(ежеме-</w:t>
            </w:r>
          </w:p>
          <w:p>
            <w:pPr>
              <w:spacing w:after="20"/>
              <w:ind w:left="20"/>
              <w:jc w:val="both"/>
            </w:pPr>
            <w:r>
              <w:rPr>
                <w:rFonts w:ascii="Times New Roman"/>
                <w:b w:val="false"/>
                <w:i w:val="false"/>
                <w:color w:val="000000"/>
                <w:sz w:val="20"/>
              </w:rPr>
              <w:t>
сячно)</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1</w:t>
            </w:r>
          </w:p>
          <w:p>
            <w:pPr>
              <w:spacing w:after="20"/>
              <w:ind w:left="20"/>
              <w:jc w:val="both"/>
            </w:pPr>
            <w:r>
              <w:rPr>
                <w:rFonts w:ascii="Times New Roman"/>
                <w:b w:val="false"/>
                <w:i w:val="false"/>
                <w:color w:val="000000"/>
                <w:sz w:val="20"/>
              </w:rPr>
              <w:t>
месяц)</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6</w:t>
            </w:r>
          </w:p>
          <w:p>
            <w:pPr>
              <w:spacing w:after="20"/>
              <w:ind w:left="20"/>
              <w:jc w:val="both"/>
            </w:pPr>
            <w:r>
              <w:rPr>
                <w:rFonts w:ascii="Times New Roman"/>
                <w:b w:val="false"/>
                <w:i w:val="false"/>
                <w:color w:val="000000"/>
                <w:sz w:val="20"/>
              </w:rPr>
              <w:t>
месяцев)</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1</w:t>
            </w:r>
          </w:p>
          <w:p>
            <w:pPr>
              <w:spacing w:after="20"/>
              <w:ind w:left="20"/>
              <w:jc w:val="both"/>
            </w:pPr>
            <w:r>
              <w:rPr>
                <w:rFonts w:ascii="Times New Roman"/>
                <w:b w:val="false"/>
                <w:i w:val="false"/>
                <w:color w:val="000000"/>
                <w:sz w:val="20"/>
              </w:rPr>
              <w:t>
месяц)</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6</w:t>
            </w:r>
          </w:p>
          <w:p>
            <w:pPr>
              <w:spacing w:after="20"/>
              <w:ind w:left="20"/>
              <w:jc w:val="both"/>
            </w:pPr>
            <w:r>
              <w:rPr>
                <w:rFonts w:ascii="Times New Roman"/>
                <w:b w:val="false"/>
                <w:i w:val="false"/>
                <w:color w:val="000000"/>
                <w:sz w:val="20"/>
              </w:rPr>
              <w:t>
месяцев)</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год</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года</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года</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раза</w:t>
            </w:r>
          </w:p>
          <w:p>
            <w:pPr>
              <w:spacing w:after="20"/>
              <w:ind w:left="20"/>
              <w:jc w:val="both"/>
            </w:pPr>
            <w:r>
              <w:rPr>
                <w:rFonts w:ascii="Times New Roman"/>
                <w:b w:val="false"/>
                <w:i w:val="false"/>
                <w:color w:val="000000"/>
                <w:sz w:val="20"/>
              </w:rPr>
              <w:t>
в год)</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года</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лет</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лет (перед школой)</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лет (1 класс)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лет (2 класс)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лет (3 класс)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лет (4 класс)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лет (5 класс)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лет (6 класс)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лет (7 класс)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лет (8 класс)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лет (9 класс)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лет (10 класс)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лет (11 класс)</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582"/>
        <w:gridCol w:w="1452"/>
        <w:gridCol w:w="1452"/>
        <w:gridCol w:w="1453"/>
        <w:gridCol w:w="1453"/>
        <w:gridCol w:w="1453"/>
        <w:gridCol w:w="1453"/>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p>
            <w:pPr>
              <w:spacing w:after="20"/>
              <w:ind w:left="20"/>
              <w:jc w:val="both"/>
            </w:pPr>
            <w:r>
              <w:rPr>
                <w:rFonts w:ascii="Times New Roman"/>
                <w:b w:val="false"/>
                <w:i w:val="false"/>
                <w:color w:val="000000"/>
                <w:sz w:val="20"/>
              </w:rPr>
              <w:t>
психолог</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p>
            <w:pPr>
              <w:spacing w:after="20"/>
              <w:ind w:left="20"/>
              <w:jc w:val="both"/>
            </w:pPr>
            <w:r>
              <w:rPr>
                <w:rFonts w:ascii="Times New Roman"/>
                <w:b w:val="false"/>
                <w:i w:val="false"/>
                <w:color w:val="000000"/>
                <w:sz w:val="20"/>
              </w:rPr>
              <w:t>
анализ</w:t>
            </w:r>
          </w:p>
          <w:p>
            <w:pPr>
              <w:spacing w:after="20"/>
              <w:ind w:left="20"/>
              <w:jc w:val="both"/>
            </w:pPr>
            <w:r>
              <w:rPr>
                <w:rFonts w:ascii="Times New Roman"/>
                <w:b w:val="false"/>
                <w:i w:val="false"/>
                <w:color w:val="000000"/>
                <w:sz w:val="20"/>
              </w:rPr>
              <w:t>
крови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сахар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p>
            <w:pPr>
              <w:spacing w:after="20"/>
              <w:ind w:left="20"/>
              <w:jc w:val="both"/>
            </w:pPr>
            <w:r>
              <w:rPr>
                <w:rFonts w:ascii="Times New Roman"/>
                <w:b w:val="false"/>
                <w:i w:val="false"/>
                <w:color w:val="000000"/>
                <w:sz w:val="20"/>
              </w:rPr>
              <w:t>
анализ</w:t>
            </w:r>
          </w:p>
          <w:p>
            <w:pPr>
              <w:spacing w:after="20"/>
              <w:ind w:left="20"/>
              <w:jc w:val="both"/>
            </w:pPr>
            <w:r>
              <w:rPr>
                <w:rFonts w:ascii="Times New Roman"/>
                <w:b w:val="false"/>
                <w:i w:val="false"/>
                <w:color w:val="000000"/>
                <w:sz w:val="20"/>
              </w:rPr>
              <w:t>
мочи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 на</w:t>
            </w:r>
          </w:p>
          <w:p>
            <w:pPr>
              <w:spacing w:after="20"/>
              <w:ind w:left="20"/>
              <w:jc w:val="both"/>
            </w:pPr>
            <w:r>
              <w:rPr>
                <w:rFonts w:ascii="Times New Roman"/>
                <w:b w:val="false"/>
                <w:i w:val="false"/>
                <w:color w:val="000000"/>
                <w:sz w:val="20"/>
              </w:rPr>
              <w:t>
яйца</w:t>
            </w:r>
          </w:p>
          <w:p>
            <w:pPr>
              <w:spacing w:after="20"/>
              <w:ind w:left="20"/>
              <w:jc w:val="both"/>
            </w:pPr>
            <w:r>
              <w:rPr>
                <w:rFonts w:ascii="Times New Roman"/>
                <w:b w:val="false"/>
                <w:i w:val="false"/>
                <w:color w:val="000000"/>
                <w:sz w:val="20"/>
              </w:rPr>
              <w:t>
гель-</w:t>
            </w:r>
          </w:p>
          <w:p>
            <w:pPr>
              <w:spacing w:after="20"/>
              <w:ind w:left="20"/>
              <w:jc w:val="both"/>
            </w:pPr>
            <w:r>
              <w:rPr>
                <w:rFonts w:ascii="Times New Roman"/>
                <w:b w:val="false"/>
                <w:i w:val="false"/>
                <w:color w:val="000000"/>
                <w:sz w:val="20"/>
              </w:rPr>
              <w:t>
минтов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w:t>
            </w:r>
          </w:p>
          <w:p>
            <w:pPr>
              <w:spacing w:after="20"/>
              <w:ind w:left="20"/>
              <w:jc w:val="both"/>
            </w:pPr>
            <w:r>
              <w:rPr>
                <w:rFonts w:ascii="Times New Roman"/>
                <w:b w:val="false"/>
                <w:i w:val="false"/>
                <w:color w:val="000000"/>
                <w:sz w:val="20"/>
              </w:rPr>
              <w:t>
артериального</w:t>
            </w:r>
          </w:p>
          <w:p>
            <w:pPr>
              <w:spacing w:after="20"/>
              <w:ind w:left="20"/>
              <w:jc w:val="both"/>
            </w:pPr>
            <w:r>
              <w:rPr>
                <w:rFonts w:ascii="Times New Roman"/>
                <w:b w:val="false"/>
                <w:i w:val="false"/>
                <w:color w:val="000000"/>
                <w:sz w:val="20"/>
              </w:rPr>
              <w:t>
давления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w:t>
            </w:r>
          </w:p>
          <w:p>
            <w:pPr>
              <w:spacing w:after="20"/>
              <w:ind w:left="20"/>
              <w:jc w:val="both"/>
            </w:pPr>
            <w:r>
              <w:rPr>
                <w:rFonts w:ascii="Times New Roman"/>
                <w:b w:val="false"/>
                <w:i w:val="false"/>
                <w:color w:val="000000"/>
                <w:sz w:val="20"/>
              </w:rPr>
              <w:t>
графия</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 1 года – недоношенные дети с массой тела менее 1500 г при рождении</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3, 6</w:t>
            </w:r>
          </w:p>
          <w:p>
            <w:pPr>
              <w:spacing w:after="20"/>
              <w:ind w:left="20"/>
              <w:jc w:val="both"/>
            </w:pPr>
            <w:r>
              <w:rPr>
                <w:rFonts w:ascii="Times New Roman"/>
                <w:b w:val="false"/>
                <w:i w:val="false"/>
                <w:color w:val="000000"/>
                <w:sz w:val="20"/>
              </w:rPr>
              <w:t>
месяцев)</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 1 года (с массой тела при рождении более 1500 г)</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6</w:t>
            </w:r>
          </w:p>
          <w:p>
            <w:pPr>
              <w:spacing w:after="20"/>
              <w:ind w:left="20"/>
              <w:jc w:val="both"/>
            </w:pPr>
            <w:r>
              <w:rPr>
                <w:rFonts w:ascii="Times New Roman"/>
                <w:b w:val="false"/>
                <w:i w:val="false"/>
                <w:color w:val="000000"/>
                <w:sz w:val="20"/>
              </w:rPr>
              <w:t>
месяцев)</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год</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года</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года</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года</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лет</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лет (перед школой)</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лет (1 класс)</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лет (2 класс)</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лет (3 класс)</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лет (4 класс)</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лет (5 класс)</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лет (6 класс)</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лет (7 класс)</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лет (8 класс)</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лет (9 класс)</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лет (10 класс)</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лет (11 класс)</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 новорожденных оценка слуха производится методом регистрации отоакустической эмиссии.</w:t>
      </w:r>
    </w:p>
    <w:p>
      <w:pPr>
        <w:spacing w:after="0"/>
        <w:ind w:left="0"/>
        <w:jc w:val="both"/>
      </w:pPr>
      <w:r>
        <w:rPr>
          <w:rFonts w:ascii="Times New Roman"/>
          <w:b w:val="false"/>
          <w:i w:val="false"/>
          <w:color w:val="000000"/>
          <w:sz w:val="28"/>
        </w:rPr>
        <w:t>
      Примечание к таблице: Осмотр детей профильными специалистами, проведение дополнительных диагностических исследований (лабораторных и инструментальных) проводится по показаниям, по направлению педиатра (подросткового врача/семейного врача/врача общей практики).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проведения</w:t>
            </w:r>
            <w:r>
              <w:br/>
            </w:r>
            <w:r>
              <w:rPr>
                <w:rFonts w:ascii="Times New Roman"/>
                <w:b w:val="false"/>
                <w:i w:val="false"/>
                <w:color w:val="000000"/>
                <w:sz w:val="20"/>
              </w:rPr>
              <w:t>профилактических медицинских</w:t>
            </w:r>
            <w:r>
              <w:br/>
            </w:r>
            <w:r>
              <w:rPr>
                <w:rFonts w:ascii="Times New Roman"/>
                <w:b w:val="false"/>
                <w:i w:val="false"/>
                <w:color w:val="000000"/>
                <w:sz w:val="20"/>
              </w:rPr>
              <w:t>осмотров целевых групп населения</w:t>
            </w:r>
          </w:p>
        </w:tc>
      </w:tr>
    </w:tbl>
    <w:bookmarkStart w:name="z145" w:id="61"/>
    <w:p>
      <w:pPr>
        <w:spacing w:after="0"/>
        <w:ind w:left="0"/>
        <w:jc w:val="left"/>
      </w:pPr>
      <w:r>
        <w:rPr>
          <w:rFonts w:ascii="Times New Roman"/>
          <w:b/>
          <w:i w:val="false"/>
          <w:color w:val="000000"/>
        </w:rPr>
        <w:t xml:space="preserve">  Периодичность проведения скрининговых осмотров</w:t>
      </w:r>
      <w:r>
        <w:br/>
      </w:r>
      <w:r>
        <w:rPr>
          <w:rFonts w:ascii="Times New Roman"/>
          <w:b/>
          <w:i w:val="false"/>
          <w:color w:val="000000"/>
        </w:rPr>
        <w:t>целевых групп взрослого населения</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591"/>
        <w:gridCol w:w="1166"/>
        <w:gridCol w:w="1166"/>
        <w:gridCol w:w="1166"/>
        <w:gridCol w:w="1392"/>
        <w:gridCol w:w="1166"/>
        <w:gridCol w:w="1895"/>
        <w:gridCol w:w="1167"/>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p>
            <w:pPr>
              <w:spacing w:after="20"/>
              <w:ind w:left="20"/>
              <w:jc w:val="both"/>
            </w:pPr>
            <w:r>
              <w:rPr>
                <w:rFonts w:ascii="Times New Roman"/>
                <w:b w:val="false"/>
                <w:i w:val="false"/>
                <w:color w:val="000000"/>
                <w:sz w:val="20"/>
              </w:rPr>
              <w:t>
ВОП</w:t>
            </w:r>
          </w:p>
          <w:p>
            <w:pPr>
              <w:spacing w:after="20"/>
              <w:ind w:left="20"/>
              <w:jc w:val="both"/>
            </w:pPr>
            <w:r>
              <w:rPr>
                <w:rFonts w:ascii="Times New Roman"/>
                <w:b w:val="false"/>
                <w:i w:val="false"/>
                <w:color w:val="000000"/>
                <w:sz w:val="20"/>
              </w:rPr>
              <w:t>
(по пока-</w:t>
            </w:r>
          </w:p>
          <w:p>
            <w:pPr>
              <w:spacing w:after="20"/>
              <w:ind w:left="20"/>
              <w:jc w:val="both"/>
            </w:pPr>
            <w:r>
              <w:rPr>
                <w:rFonts w:ascii="Times New Roman"/>
                <w:b w:val="false"/>
                <w:i w:val="false"/>
                <w:color w:val="000000"/>
                <w:sz w:val="20"/>
              </w:rPr>
              <w:t>
заниям)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p>
            <w:pPr>
              <w:spacing w:after="20"/>
              <w:ind w:left="20"/>
              <w:jc w:val="both"/>
            </w:pPr>
            <w:r>
              <w:rPr>
                <w:rFonts w:ascii="Times New Roman"/>
                <w:b w:val="false"/>
                <w:i w:val="false"/>
                <w:color w:val="000000"/>
                <w:sz w:val="20"/>
              </w:rPr>
              <w:t>
гине-</w:t>
            </w:r>
          </w:p>
          <w:p>
            <w:pPr>
              <w:spacing w:after="20"/>
              <w:ind w:left="20"/>
              <w:jc w:val="both"/>
            </w:pPr>
            <w:r>
              <w:rPr>
                <w:rFonts w:ascii="Times New Roman"/>
                <w:b w:val="false"/>
                <w:i w:val="false"/>
                <w:color w:val="000000"/>
                <w:sz w:val="20"/>
              </w:rPr>
              <w:t>
колог*</w:t>
            </w:r>
          </w:p>
          <w:p>
            <w:pPr>
              <w:spacing w:after="20"/>
              <w:ind w:left="20"/>
              <w:jc w:val="both"/>
            </w:pPr>
            <w:r>
              <w:rPr>
                <w:rFonts w:ascii="Times New Roman"/>
                <w:b w:val="false"/>
                <w:i w:val="false"/>
                <w:color w:val="000000"/>
                <w:sz w:val="20"/>
              </w:rPr>
              <w:t>
(по пока-</w:t>
            </w:r>
          </w:p>
          <w:p>
            <w:pPr>
              <w:spacing w:after="20"/>
              <w:ind w:left="20"/>
              <w:jc w:val="both"/>
            </w:pPr>
            <w:r>
              <w:rPr>
                <w:rFonts w:ascii="Times New Roman"/>
                <w:b w:val="false"/>
                <w:i w:val="false"/>
                <w:color w:val="000000"/>
                <w:sz w:val="20"/>
              </w:rPr>
              <w:t>
заниям)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w:t>
            </w:r>
          </w:p>
          <w:p>
            <w:pPr>
              <w:spacing w:after="20"/>
              <w:ind w:left="20"/>
              <w:jc w:val="both"/>
            </w:pPr>
            <w:r>
              <w:rPr>
                <w:rFonts w:ascii="Times New Roman"/>
                <w:b w:val="false"/>
                <w:i w:val="false"/>
                <w:color w:val="000000"/>
                <w:sz w:val="20"/>
              </w:rPr>
              <w:t>
тро-</w:t>
            </w:r>
          </w:p>
          <w:p>
            <w:pPr>
              <w:spacing w:after="20"/>
              <w:ind w:left="20"/>
              <w:jc w:val="both"/>
            </w:pPr>
            <w:r>
              <w:rPr>
                <w:rFonts w:ascii="Times New Roman"/>
                <w:b w:val="false"/>
                <w:i w:val="false"/>
                <w:color w:val="000000"/>
                <w:sz w:val="20"/>
              </w:rPr>
              <w:t>
кардио-</w:t>
            </w:r>
          </w:p>
          <w:p>
            <w:pPr>
              <w:spacing w:after="20"/>
              <w:ind w:left="20"/>
              <w:jc w:val="both"/>
            </w:pPr>
            <w:r>
              <w:rPr>
                <w:rFonts w:ascii="Times New Roman"/>
                <w:b w:val="false"/>
                <w:i w:val="false"/>
                <w:color w:val="000000"/>
                <w:sz w:val="20"/>
              </w:rPr>
              <w:t>
грамма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заниям)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холес-</w:t>
            </w:r>
          </w:p>
          <w:p>
            <w:pPr>
              <w:spacing w:after="20"/>
              <w:ind w:left="20"/>
              <w:jc w:val="both"/>
            </w:pPr>
            <w:r>
              <w:rPr>
                <w:rFonts w:ascii="Times New Roman"/>
                <w:b w:val="false"/>
                <w:i w:val="false"/>
                <w:color w:val="000000"/>
                <w:sz w:val="20"/>
              </w:rPr>
              <w:t>
терина</w:t>
            </w:r>
          </w:p>
          <w:p>
            <w:pPr>
              <w:spacing w:after="20"/>
              <w:ind w:left="20"/>
              <w:jc w:val="both"/>
            </w:pPr>
            <w:r>
              <w:rPr>
                <w:rFonts w:ascii="Times New Roman"/>
                <w:b w:val="false"/>
                <w:i w:val="false"/>
                <w:color w:val="000000"/>
                <w:sz w:val="20"/>
              </w:rPr>
              <w:t>
крови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сахара</w:t>
            </w:r>
          </w:p>
          <w:p>
            <w:pPr>
              <w:spacing w:after="20"/>
              <w:ind w:left="20"/>
              <w:jc w:val="both"/>
            </w:pPr>
            <w:r>
              <w:rPr>
                <w:rFonts w:ascii="Times New Roman"/>
                <w:b w:val="false"/>
                <w:i w:val="false"/>
                <w:color w:val="000000"/>
                <w:sz w:val="20"/>
              </w:rPr>
              <w:t>
крови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w:t>
            </w:r>
          </w:p>
          <w:p>
            <w:pPr>
              <w:spacing w:after="20"/>
              <w:ind w:left="20"/>
              <w:jc w:val="both"/>
            </w:pPr>
            <w:r>
              <w:rPr>
                <w:rFonts w:ascii="Times New Roman"/>
                <w:b w:val="false"/>
                <w:i w:val="false"/>
                <w:color w:val="000000"/>
                <w:sz w:val="20"/>
              </w:rPr>
              <w:t>
гическое</w:t>
            </w:r>
          </w:p>
          <w:p>
            <w:pPr>
              <w:spacing w:after="20"/>
              <w:ind w:left="20"/>
              <w:jc w:val="both"/>
            </w:pPr>
            <w:r>
              <w:rPr>
                <w:rFonts w:ascii="Times New Roman"/>
                <w:b w:val="false"/>
                <w:i w:val="false"/>
                <w:color w:val="000000"/>
                <w:sz w:val="20"/>
              </w:rPr>
              <w:t>
исследо-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шейки</w:t>
            </w:r>
          </w:p>
          <w:p>
            <w:pPr>
              <w:spacing w:after="20"/>
              <w:ind w:left="20"/>
              <w:jc w:val="both"/>
            </w:pPr>
            <w:r>
              <w:rPr>
                <w:rFonts w:ascii="Times New Roman"/>
                <w:b w:val="false"/>
                <w:i w:val="false"/>
                <w:color w:val="000000"/>
                <w:sz w:val="20"/>
              </w:rPr>
              <w:t>
матки</w:t>
            </w:r>
          </w:p>
          <w:p>
            <w:pPr>
              <w:spacing w:after="20"/>
              <w:ind w:left="20"/>
              <w:jc w:val="both"/>
            </w:pPr>
            <w:r>
              <w:rPr>
                <w:rFonts w:ascii="Times New Roman"/>
                <w:b w:val="false"/>
                <w:i w:val="false"/>
                <w:color w:val="000000"/>
                <w:sz w:val="20"/>
              </w:rPr>
              <w:t>
(Рар-</w:t>
            </w:r>
          </w:p>
          <w:p>
            <w:pPr>
              <w:spacing w:after="20"/>
              <w:ind w:left="20"/>
              <w:jc w:val="both"/>
            </w:pPr>
            <w:r>
              <w:rPr>
                <w:rFonts w:ascii="Times New Roman"/>
                <w:b w:val="false"/>
                <w:i w:val="false"/>
                <w:color w:val="000000"/>
                <w:sz w:val="20"/>
              </w:rPr>
              <w:t>
тест),</w:t>
            </w:r>
          </w:p>
          <w:p>
            <w:pPr>
              <w:spacing w:after="20"/>
              <w:ind w:left="20"/>
              <w:jc w:val="both"/>
            </w:pPr>
            <w:r>
              <w:rPr>
                <w:rFonts w:ascii="Times New Roman"/>
                <w:b w:val="false"/>
                <w:i w:val="false"/>
                <w:color w:val="000000"/>
                <w:sz w:val="20"/>
              </w:rPr>
              <w:t>
по пока-</w:t>
            </w:r>
          </w:p>
          <w:p>
            <w:pPr>
              <w:spacing w:after="20"/>
              <w:ind w:left="20"/>
              <w:jc w:val="both"/>
            </w:pPr>
            <w:r>
              <w:rPr>
                <w:rFonts w:ascii="Times New Roman"/>
                <w:b w:val="false"/>
                <w:i w:val="false"/>
                <w:color w:val="000000"/>
                <w:sz w:val="20"/>
              </w:rPr>
              <w:t>
заниям –</w:t>
            </w:r>
          </w:p>
          <w:p>
            <w:pPr>
              <w:spacing w:after="20"/>
              <w:ind w:left="20"/>
              <w:jc w:val="both"/>
            </w:pPr>
            <w:r>
              <w:rPr>
                <w:rFonts w:ascii="Times New Roman"/>
                <w:b w:val="false"/>
                <w:i w:val="false"/>
                <w:color w:val="000000"/>
                <w:sz w:val="20"/>
              </w:rPr>
              <w:t>
кольпо-</w:t>
            </w:r>
          </w:p>
          <w:p>
            <w:pPr>
              <w:spacing w:after="20"/>
              <w:ind w:left="20"/>
              <w:jc w:val="both"/>
            </w:pPr>
            <w:r>
              <w:rPr>
                <w:rFonts w:ascii="Times New Roman"/>
                <w:b w:val="false"/>
                <w:i w:val="false"/>
                <w:color w:val="000000"/>
                <w:sz w:val="20"/>
              </w:rPr>
              <w:t>
скопия и</w:t>
            </w:r>
          </w:p>
          <w:p>
            <w:pPr>
              <w:spacing w:after="20"/>
              <w:ind w:left="20"/>
              <w:jc w:val="both"/>
            </w:pPr>
            <w:r>
              <w:rPr>
                <w:rFonts w:ascii="Times New Roman"/>
                <w:b w:val="false"/>
                <w:i w:val="false"/>
                <w:color w:val="000000"/>
                <w:sz w:val="20"/>
              </w:rPr>
              <w:t>
биопсия*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рение</w:t>
            </w:r>
          </w:p>
          <w:p>
            <w:pPr>
              <w:spacing w:after="20"/>
              <w:ind w:left="20"/>
              <w:jc w:val="both"/>
            </w:pPr>
            <w:r>
              <w:rPr>
                <w:rFonts w:ascii="Times New Roman"/>
                <w:b w:val="false"/>
                <w:i w:val="false"/>
                <w:color w:val="000000"/>
                <w:sz w:val="20"/>
              </w:rPr>
              <w:t>
внутри-</w:t>
            </w:r>
          </w:p>
          <w:p>
            <w:pPr>
              <w:spacing w:after="20"/>
              <w:ind w:left="20"/>
              <w:jc w:val="both"/>
            </w:pPr>
            <w:r>
              <w:rPr>
                <w:rFonts w:ascii="Times New Roman"/>
                <w:b w:val="false"/>
                <w:i w:val="false"/>
                <w:color w:val="000000"/>
                <w:sz w:val="20"/>
              </w:rPr>
              <w:t>
глаз-</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дав-</w:t>
            </w:r>
          </w:p>
          <w:p>
            <w:pPr>
              <w:spacing w:after="20"/>
              <w:ind w:left="20"/>
              <w:jc w:val="both"/>
            </w:pPr>
            <w:r>
              <w:rPr>
                <w:rFonts w:ascii="Times New Roman"/>
                <w:b w:val="false"/>
                <w:i w:val="false"/>
                <w:color w:val="000000"/>
                <w:sz w:val="20"/>
              </w:rPr>
              <w:t>
ления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p>
            <w:pPr>
              <w:spacing w:after="20"/>
              <w:ind w:left="20"/>
              <w:jc w:val="both"/>
            </w:pPr>
            <w:r>
              <w:rPr>
                <w:rFonts w:ascii="Times New Roman"/>
                <w:b w:val="false"/>
                <w:i w:val="false"/>
                <w:color w:val="000000"/>
                <w:sz w:val="20"/>
              </w:rPr>
              <w:t>
кала на</w:t>
            </w:r>
          </w:p>
          <w:p>
            <w:pPr>
              <w:spacing w:after="20"/>
              <w:ind w:left="20"/>
              <w:jc w:val="both"/>
            </w:pPr>
            <w:r>
              <w:rPr>
                <w:rFonts w:ascii="Times New Roman"/>
                <w:b w:val="false"/>
                <w:i w:val="false"/>
                <w:color w:val="000000"/>
                <w:sz w:val="20"/>
              </w:rPr>
              <w:t>
скрытую</w:t>
            </w:r>
          </w:p>
          <w:p>
            <w:pPr>
              <w:spacing w:after="20"/>
              <w:ind w:left="20"/>
              <w:jc w:val="both"/>
            </w:pPr>
            <w:r>
              <w:rPr>
                <w:rFonts w:ascii="Times New Roman"/>
                <w:b w:val="false"/>
                <w:i w:val="false"/>
                <w:color w:val="000000"/>
                <w:sz w:val="20"/>
              </w:rPr>
              <w:t>
кровь</w:t>
            </w:r>
          </w:p>
          <w:p>
            <w:pPr>
              <w:spacing w:after="20"/>
              <w:ind w:left="20"/>
              <w:jc w:val="both"/>
            </w:pPr>
            <w:r>
              <w:rPr>
                <w:rFonts w:ascii="Times New Roman"/>
                <w:b w:val="false"/>
                <w:i w:val="false"/>
                <w:color w:val="000000"/>
                <w:sz w:val="20"/>
              </w:rPr>
              <w:t>
(гемокульт</w:t>
            </w:r>
          </w:p>
          <w:p>
            <w:pPr>
              <w:spacing w:after="20"/>
              <w:ind w:left="20"/>
              <w:jc w:val="both"/>
            </w:pPr>
            <w:r>
              <w:rPr>
                <w:rFonts w:ascii="Times New Roman"/>
                <w:b w:val="false"/>
                <w:i w:val="false"/>
                <w:color w:val="000000"/>
                <w:sz w:val="20"/>
              </w:rPr>
              <w:t>
-тест), по</w:t>
            </w:r>
          </w:p>
          <w:p>
            <w:pPr>
              <w:spacing w:after="20"/>
              <w:ind w:left="20"/>
              <w:jc w:val="both"/>
            </w:pPr>
            <w:r>
              <w:rPr>
                <w:rFonts w:ascii="Times New Roman"/>
                <w:b w:val="false"/>
                <w:i w:val="false"/>
                <w:color w:val="000000"/>
                <w:sz w:val="20"/>
              </w:rPr>
              <w:t>
показа-</w:t>
            </w:r>
          </w:p>
          <w:p>
            <w:pPr>
              <w:spacing w:after="20"/>
              <w:ind w:left="20"/>
              <w:jc w:val="both"/>
            </w:pPr>
            <w:r>
              <w:rPr>
                <w:rFonts w:ascii="Times New Roman"/>
                <w:b w:val="false"/>
                <w:i w:val="false"/>
                <w:color w:val="000000"/>
                <w:sz w:val="20"/>
              </w:rPr>
              <w:t>
ниям –</w:t>
            </w:r>
          </w:p>
          <w:p>
            <w:pPr>
              <w:spacing w:after="20"/>
              <w:ind w:left="20"/>
              <w:jc w:val="both"/>
            </w:pPr>
            <w:r>
              <w:rPr>
                <w:rFonts w:ascii="Times New Roman"/>
                <w:b w:val="false"/>
                <w:i w:val="false"/>
                <w:color w:val="000000"/>
                <w:sz w:val="20"/>
              </w:rPr>
              <w:t>
ректоро-</w:t>
            </w:r>
          </w:p>
          <w:p>
            <w:pPr>
              <w:spacing w:after="20"/>
              <w:ind w:left="20"/>
              <w:jc w:val="both"/>
            </w:pPr>
            <w:r>
              <w:rPr>
                <w:rFonts w:ascii="Times New Roman"/>
                <w:b w:val="false"/>
                <w:i w:val="false"/>
                <w:color w:val="000000"/>
                <w:sz w:val="20"/>
              </w:rPr>
              <w:t>
мано-</w:t>
            </w:r>
          </w:p>
          <w:p>
            <w:pPr>
              <w:spacing w:after="20"/>
              <w:ind w:left="20"/>
              <w:jc w:val="both"/>
            </w:pPr>
            <w:r>
              <w:rPr>
                <w:rFonts w:ascii="Times New Roman"/>
                <w:b w:val="false"/>
                <w:i w:val="false"/>
                <w:color w:val="000000"/>
                <w:sz w:val="20"/>
              </w:rPr>
              <w:t>
скопия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w:t>
            </w:r>
          </w:p>
          <w:p>
            <w:pPr>
              <w:spacing w:after="20"/>
              <w:ind w:left="20"/>
              <w:jc w:val="both"/>
            </w:pPr>
            <w:r>
              <w:rPr>
                <w:rFonts w:ascii="Times New Roman"/>
                <w:b w:val="false"/>
                <w:i w:val="false"/>
                <w:color w:val="000000"/>
                <w:sz w:val="20"/>
              </w:rPr>
              <w:t>
гра-</w:t>
            </w:r>
          </w:p>
          <w:p>
            <w:pPr>
              <w:spacing w:after="20"/>
              <w:ind w:left="20"/>
              <w:jc w:val="both"/>
            </w:pPr>
            <w:r>
              <w:rPr>
                <w:rFonts w:ascii="Times New Roman"/>
                <w:b w:val="false"/>
                <w:i w:val="false"/>
                <w:color w:val="000000"/>
                <w:sz w:val="20"/>
              </w:rPr>
              <w:t>
фия*</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осмотр и исследования проводятся только женщинам</w:t>
      </w:r>
    </w:p>
    <w:p>
      <w:pPr>
        <w:spacing w:after="0"/>
        <w:ind w:left="0"/>
        <w:jc w:val="both"/>
      </w:pPr>
      <w:r>
        <w:rPr>
          <w:rFonts w:ascii="Times New Roman"/>
          <w:b w:val="false"/>
          <w:i w:val="false"/>
          <w:color w:val="000000"/>
          <w:sz w:val="28"/>
        </w:rPr>
        <w:t>
      Примечание к таблице: осмотр взрослого населения профильными специалистами, проведение дополнительных диагностических исследований (лабораторных и инструментальных) проводится по показаниям, по направлению врача организации первичной медико-санитарной помощи.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проведения</w:t>
            </w:r>
            <w:r>
              <w:br/>
            </w:r>
            <w:r>
              <w:rPr>
                <w:rFonts w:ascii="Times New Roman"/>
                <w:b w:val="false"/>
                <w:i w:val="false"/>
                <w:color w:val="000000"/>
                <w:sz w:val="20"/>
              </w:rPr>
              <w:t>профилактических медицинских</w:t>
            </w:r>
            <w:r>
              <w:br/>
            </w:r>
            <w:r>
              <w:rPr>
                <w:rFonts w:ascii="Times New Roman"/>
                <w:b w:val="false"/>
                <w:i w:val="false"/>
                <w:color w:val="000000"/>
                <w:sz w:val="20"/>
              </w:rPr>
              <w:t>осмотров целевых групп населения</w:t>
            </w:r>
          </w:p>
        </w:tc>
      </w:tr>
    </w:tbl>
    <w:bookmarkStart w:name="z68" w:id="62"/>
    <w:p>
      <w:pPr>
        <w:spacing w:after="0"/>
        <w:ind w:left="0"/>
        <w:jc w:val="left"/>
      </w:pPr>
      <w:r>
        <w:rPr>
          <w:rFonts w:ascii="Times New Roman"/>
          <w:b/>
          <w:i w:val="false"/>
          <w:color w:val="000000"/>
        </w:rPr>
        <w:t xml:space="preserve"> Алгоритмы этапности проведения</w:t>
      </w:r>
      <w:r>
        <w:br/>
      </w:r>
      <w:r>
        <w:rPr>
          <w:rFonts w:ascii="Times New Roman"/>
          <w:b/>
          <w:i w:val="false"/>
          <w:color w:val="000000"/>
        </w:rPr>
        <w:t>скрининговых осмотров целевых групп населения</w:t>
      </w:r>
      <w:r>
        <w:br/>
      </w:r>
      <w:r>
        <w:rPr>
          <w:rFonts w:ascii="Times New Roman"/>
          <w:b/>
          <w:i w:val="false"/>
          <w:color w:val="000000"/>
        </w:rPr>
        <w:t>1. Общие положения</w:t>
      </w:r>
    </w:p>
    <w:bookmarkEnd w:id="62"/>
    <w:bookmarkStart w:name="z70" w:id="63"/>
    <w:p>
      <w:pPr>
        <w:spacing w:after="0"/>
        <w:ind w:left="0"/>
        <w:jc w:val="both"/>
      </w:pPr>
      <w:r>
        <w:rPr>
          <w:rFonts w:ascii="Times New Roman"/>
          <w:b w:val="false"/>
          <w:i w:val="false"/>
          <w:color w:val="000000"/>
          <w:sz w:val="28"/>
        </w:rPr>
        <w:t>
      1. Проведение скрининговых осмотров целевых групп взрослого населения включает в себя следующие этапы:</w:t>
      </w:r>
    </w:p>
    <w:bookmarkEnd w:id="63"/>
    <w:bookmarkStart w:name="z71" w:id="64"/>
    <w:p>
      <w:pPr>
        <w:spacing w:after="0"/>
        <w:ind w:left="0"/>
        <w:jc w:val="both"/>
      </w:pPr>
      <w:r>
        <w:rPr>
          <w:rFonts w:ascii="Times New Roman"/>
          <w:b w:val="false"/>
          <w:i w:val="false"/>
          <w:color w:val="000000"/>
          <w:sz w:val="28"/>
        </w:rPr>
        <w:t>
      1) подготовительный – формирование целевых групп, информационное сопровождение, приглашение на скрининг.</w:t>
      </w:r>
    </w:p>
    <w:bookmarkEnd w:id="64"/>
    <w:p>
      <w:pPr>
        <w:spacing w:after="0"/>
        <w:ind w:left="0"/>
        <w:jc w:val="both"/>
      </w:pPr>
      <w:r>
        <w:rPr>
          <w:rFonts w:ascii="Times New Roman"/>
          <w:b w:val="false"/>
          <w:i w:val="false"/>
          <w:color w:val="000000"/>
          <w:sz w:val="28"/>
        </w:rPr>
        <w:t>
      Подготовительный этап осуществляется ответственным за профилактические мероприятия средним медицинским работником медицинского пункта, фельдшерско-акушерского пункта, доврачебного кабинета отделения (кабинета) профилактики и социально-психологической помощи врачебной амбулатории, сельской, районной, городской поликлиники (далее – организации ПМСП), средним медицинским работником дошкольного учреждения, организации образования и включает в себя:</w:t>
      </w:r>
    </w:p>
    <w:p>
      <w:pPr>
        <w:spacing w:after="0"/>
        <w:ind w:left="0"/>
        <w:jc w:val="both"/>
      </w:pPr>
      <w:r>
        <w:rPr>
          <w:rFonts w:ascii="Times New Roman"/>
          <w:b w:val="false"/>
          <w:i w:val="false"/>
          <w:color w:val="000000"/>
          <w:sz w:val="28"/>
        </w:rPr>
        <w:t>
      ежегодное до 15 ноября текущего года составление списка целевой группы, подлежащей скрининговым осмотрам в предстоящем году, с последующей ежемесячной коррекцией целевых групп детского населения;</w:t>
      </w:r>
    </w:p>
    <w:p>
      <w:pPr>
        <w:spacing w:after="0"/>
        <w:ind w:left="0"/>
        <w:jc w:val="both"/>
      </w:pPr>
      <w:r>
        <w:rPr>
          <w:rFonts w:ascii="Times New Roman"/>
          <w:b w:val="false"/>
          <w:i w:val="false"/>
          <w:color w:val="000000"/>
          <w:sz w:val="28"/>
        </w:rPr>
        <w:t>
      оповещение целевых групп взрослого населения, родителей детей целевых групп о необходимости и условиях прохождения скрининговых осмотров;</w:t>
      </w:r>
    </w:p>
    <w:p>
      <w:pPr>
        <w:spacing w:after="0"/>
        <w:ind w:left="0"/>
        <w:jc w:val="both"/>
      </w:pPr>
      <w:r>
        <w:rPr>
          <w:rFonts w:ascii="Times New Roman"/>
          <w:b w:val="false"/>
          <w:i w:val="false"/>
          <w:color w:val="000000"/>
          <w:sz w:val="28"/>
        </w:rPr>
        <w:t>
      приглашение целевой группы населения на скрининговый осмотр;</w:t>
      </w:r>
    </w:p>
    <w:p>
      <w:pPr>
        <w:spacing w:after="0"/>
        <w:ind w:left="0"/>
        <w:jc w:val="both"/>
      </w:pPr>
      <w:r>
        <w:rPr>
          <w:rFonts w:ascii="Times New Roman"/>
          <w:b w:val="false"/>
          <w:i w:val="false"/>
          <w:color w:val="000000"/>
          <w:sz w:val="28"/>
        </w:rPr>
        <w:t>
      организацию выезда специалистов территориальной организации ПМСП на территории детских дошкольных учреждений и организаций образования для проведения скрининговых осмотров организованных детей дошкольного возраста, школьников, учащихся и студентов средне-специальных и высших учебных заведений до 18 лет;</w:t>
      </w:r>
    </w:p>
    <w:p>
      <w:pPr>
        <w:spacing w:after="0"/>
        <w:ind w:left="0"/>
        <w:jc w:val="both"/>
      </w:pPr>
      <w:r>
        <w:rPr>
          <w:rFonts w:ascii="Times New Roman"/>
          <w:b w:val="false"/>
          <w:i w:val="false"/>
          <w:color w:val="000000"/>
          <w:sz w:val="28"/>
        </w:rPr>
        <w:t>
      обеспечение своевременного прохождения скринингового осмотра целевыми группами населения;</w:t>
      </w:r>
    </w:p>
    <w:bookmarkStart w:name="z72" w:id="65"/>
    <w:p>
      <w:pPr>
        <w:spacing w:after="0"/>
        <w:ind w:left="0"/>
        <w:jc w:val="both"/>
      </w:pPr>
      <w:r>
        <w:rPr>
          <w:rFonts w:ascii="Times New Roman"/>
          <w:b w:val="false"/>
          <w:i w:val="false"/>
          <w:color w:val="000000"/>
          <w:sz w:val="28"/>
        </w:rPr>
        <w:t>
      2) проведение скрининга – заполнение статистической карты профилактического медицинского осмотра (скрининга) ребенка (форма 025-08/у), амбулаторного пациента (форма 025-08/у), проведение скрининг-теста, лабораторных и инструментальных исследований, консультации специалистов.</w:t>
      </w:r>
    </w:p>
    <w:bookmarkEnd w:id="65"/>
    <w:p>
      <w:pPr>
        <w:spacing w:after="0"/>
        <w:ind w:left="0"/>
        <w:jc w:val="both"/>
      </w:pPr>
      <w:r>
        <w:rPr>
          <w:rFonts w:ascii="Times New Roman"/>
          <w:b w:val="false"/>
          <w:i w:val="false"/>
          <w:color w:val="000000"/>
          <w:sz w:val="28"/>
        </w:rPr>
        <w:t>
      Проведение скринингового осмотра целевых групп детского населения осуществляется средним медицинским работником дошкольного учреждения, организации образования, врачом педиатром, подростковым врачом, семейным врачом, врачом общей практики организации ПМСП; врачами специалистами, педагогом-психологом.</w:t>
      </w:r>
    </w:p>
    <w:p>
      <w:pPr>
        <w:spacing w:after="0"/>
        <w:ind w:left="0"/>
        <w:jc w:val="both"/>
      </w:pPr>
      <w:r>
        <w:rPr>
          <w:rFonts w:ascii="Times New Roman"/>
          <w:b w:val="false"/>
          <w:i w:val="false"/>
          <w:color w:val="000000"/>
          <w:sz w:val="28"/>
        </w:rPr>
        <w:t>
      Проведение скринингового осмотра целевых групп взрослого населения осуществляется участковым врачом/врачом общей практики (далее – врач ПМСП), врачом и средним медицинским работником доврачебного кабинета отделения (кабинета) профилактики и социально-психологической помощи организации ПМСП и профильными специалистами по направлению врача ПМСП/отделения профилактики и социально-психологической помощи организации ПМСП;</w:t>
      </w:r>
    </w:p>
    <w:bookmarkStart w:name="z73" w:id="66"/>
    <w:p>
      <w:pPr>
        <w:spacing w:after="0"/>
        <w:ind w:left="0"/>
        <w:jc w:val="both"/>
      </w:pPr>
      <w:r>
        <w:rPr>
          <w:rFonts w:ascii="Times New Roman"/>
          <w:b w:val="false"/>
          <w:i w:val="false"/>
          <w:color w:val="000000"/>
          <w:sz w:val="28"/>
        </w:rPr>
        <w:t>
      3) заключительный – дообследование и постановка на диспансерный учет лиц с выявленной патологией, завершение оформления учетно-отчетной статистической документации.</w:t>
      </w:r>
    </w:p>
    <w:bookmarkEnd w:id="66"/>
    <w:p>
      <w:pPr>
        <w:spacing w:after="0"/>
        <w:ind w:left="0"/>
        <w:jc w:val="both"/>
      </w:pPr>
      <w:r>
        <w:rPr>
          <w:rFonts w:ascii="Times New Roman"/>
          <w:b w:val="false"/>
          <w:i w:val="false"/>
          <w:color w:val="000000"/>
          <w:sz w:val="28"/>
        </w:rPr>
        <w:t>
      На данном этапе врач ПМСП/отделения профилактики и социально-психологической помощи организации ПМСП вносит в статистическую форму профилактического осмотра (скрининга) результаты скринингового осмотра целевых групп населения с выделением факторов риска (поведенческих, биологических), заключительного диагноза, дает рекомендации по дообследованию, наблюдению. Форма считается заполненной после получения заключительного диагноза и передается в кабинет (специалисту) медицинской статистики для внесения в электронную базу данных скрининговых осмотров.</w:t>
      </w:r>
    </w:p>
    <w:bookmarkStart w:name="z74" w:id="67"/>
    <w:p>
      <w:pPr>
        <w:spacing w:after="0"/>
        <w:ind w:left="0"/>
        <w:jc w:val="both"/>
      </w:pPr>
      <w:r>
        <w:rPr>
          <w:rFonts w:ascii="Times New Roman"/>
          <w:b w:val="false"/>
          <w:i w:val="false"/>
          <w:color w:val="000000"/>
          <w:sz w:val="28"/>
        </w:rPr>
        <w:t>
      2. Результаты скринингового осмотра вносятся в медицинскую карту амбулаторного пациента, историю развития ребенка. Результаты скринингового осмотра организованных детей дополнительно вносятся в паспорт здоровья.</w:t>
      </w:r>
    </w:p>
    <w:bookmarkEnd w:id="67"/>
    <w:bookmarkStart w:name="z75" w:id="68"/>
    <w:p>
      <w:pPr>
        <w:spacing w:after="0"/>
        <w:ind w:left="0"/>
        <w:jc w:val="both"/>
      </w:pPr>
      <w:r>
        <w:rPr>
          <w:rFonts w:ascii="Times New Roman"/>
          <w:b w:val="false"/>
          <w:i w:val="false"/>
          <w:color w:val="000000"/>
          <w:sz w:val="28"/>
        </w:rPr>
        <w:t>
      3. Пофамильный список лиц с результатами скринингового осмотра направляется:</w:t>
      </w:r>
    </w:p>
    <w:bookmarkEnd w:id="68"/>
    <w:bookmarkStart w:name="z76" w:id="69"/>
    <w:p>
      <w:pPr>
        <w:spacing w:after="0"/>
        <w:ind w:left="0"/>
        <w:jc w:val="both"/>
      </w:pPr>
      <w:r>
        <w:rPr>
          <w:rFonts w:ascii="Times New Roman"/>
          <w:b w:val="false"/>
          <w:i w:val="false"/>
          <w:color w:val="000000"/>
          <w:sz w:val="28"/>
        </w:rPr>
        <w:t>
      1) врачу ПМСП для дальнейшего динамического наблюдения;</w:t>
      </w:r>
    </w:p>
    <w:bookmarkEnd w:id="69"/>
    <w:bookmarkStart w:name="z77" w:id="70"/>
    <w:p>
      <w:pPr>
        <w:spacing w:after="0"/>
        <w:ind w:left="0"/>
        <w:jc w:val="both"/>
      </w:pPr>
      <w:r>
        <w:rPr>
          <w:rFonts w:ascii="Times New Roman"/>
          <w:b w:val="false"/>
          <w:i w:val="false"/>
          <w:color w:val="000000"/>
          <w:sz w:val="28"/>
        </w:rPr>
        <w:t>
      2) в кабинет здорового образа жизни, профильные школы здоровья для проведения информационно-образовательной работы и обучения лиц с факторами риска заболеваний и больных методам профилактики, формирования здорового образа жизни.</w:t>
      </w:r>
    </w:p>
    <w:bookmarkEnd w:id="70"/>
    <w:bookmarkStart w:name="z78" w:id="71"/>
    <w:p>
      <w:pPr>
        <w:spacing w:after="0"/>
        <w:ind w:left="0"/>
        <w:jc w:val="both"/>
      </w:pPr>
      <w:r>
        <w:rPr>
          <w:rFonts w:ascii="Times New Roman"/>
          <w:b w:val="false"/>
          <w:i w:val="false"/>
          <w:color w:val="000000"/>
          <w:sz w:val="28"/>
        </w:rPr>
        <w:t>
      4. Средний медицинский работник организации ПМСП/отделения (кабинета) профилактики и социально-психологической помощи организации ПМСП по результатам проведенного скринингового осмотра:</w:t>
      </w:r>
    </w:p>
    <w:bookmarkEnd w:id="71"/>
    <w:p>
      <w:pPr>
        <w:spacing w:after="0"/>
        <w:ind w:left="0"/>
        <w:jc w:val="both"/>
      </w:pPr>
      <w:r>
        <w:rPr>
          <w:rFonts w:ascii="Times New Roman"/>
          <w:b w:val="false"/>
          <w:i w:val="false"/>
          <w:color w:val="000000"/>
          <w:sz w:val="28"/>
        </w:rPr>
        <w:t>
      сверяет список пациентов целевой группы, приглашенных на скрининговый осмотр, прошедших скрининг и направленных на дообследование;</w:t>
      </w:r>
    </w:p>
    <w:p>
      <w:pPr>
        <w:spacing w:after="0"/>
        <w:ind w:left="0"/>
        <w:jc w:val="both"/>
      </w:pPr>
      <w:r>
        <w:rPr>
          <w:rFonts w:ascii="Times New Roman"/>
          <w:b w:val="false"/>
          <w:i w:val="false"/>
          <w:color w:val="000000"/>
          <w:sz w:val="28"/>
        </w:rPr>
        <w:t>
      осуществляет связь и преемственность с заинтересованными организациями здравоохранения, вовлеченными в проведение скринингового осмотра;</w:t>
      </w:r>
    </w:p>
    <w:p>
      <w:pPr>
        <w:spacing w:after="0"/>
        <w:ind w:left="0"/>
        <w:jc w:val="both"/>
      </w:pPr>
      <w:r>
        <w:rPr>
          <w:rFonts w:ascii="Times New Roman"/>
          <w:b w:val="false"/>
          <w:i w:val="false"/>
          <w:color w:val="000000"/>
          <w:sz w:val="28"/>
        </w:rPr>
        <w:t>
      по рекомендациям врача приглашает пациента пройти дообследование.</w:t>
      </w:r>
    </w:p>
    <w:bookmarkStart w:name="z79" w:id="72"/>
    <w:p>
      <w:pPr>
        <w:spacing w:after="0"/>
        <w:ind w:left="0"/>
        <w:jc w:val="both"/>
      </w:pPr>
      <w:r>
        <w:rPr>
          <w:rFonts w:ascii="Times New Roman"/>
          <w:b w:val="false"/>
          <w:i w:val="false"/>
          <w:color w:val="000000"/>
          <w:sz w:val="28"/>
        </w:rPr>
        <w:t>
      5. Все пациенты, с впервые установленным диагнозом, выявленным в ходе скринингового осмотра, направляются к врачу ПМСП для диспансеризации и динамического наблюдения.</w:t>
      </w:r>
    </w:p>
    <w:bookmarkEnd w:id="72"/>
    <w:bookmarkStart w:name="z80" w:id="73"/>
    <w:p>
      <w:pPr>
        <w:spacing w:after="0"/>
        <w:ind w:left="0"/>
        <w:jc w:val="left"/>
      </w:pPr>
      <w:r>
        <w:rPr>
          <w:rFonts w:ascii="Times New Roman"/>
          <w:b/>
          <w:i w:val="false"/>
          <w:color w:val="000000"/>
        </w:rPr>
        <w:t xml:space="preserve"> 2. Алгоритм этапности проведения</w:t>
      </w:r>
      <w:r>
        <w:br/>
      </w:r>
      <w:r>
        <w:rPr>
          <w:rFonts w:ascii="Times New Roman"/>
          <w:b/>
          <w:i w:val="false"/>
          <w:color w:val="000000"/>
        </w:rPr>
        <w:t>скрининговых осмотров взрослого населения</w:t>
      </w:r>
    </w:p>
    <w:bookmarkEnd w:id="73"/>
    <w:bookmarkStart w:name="z81" w:id="74"/>
    <w:p>
      <w:pPr>
        <w:spacing w:after="0"/>
        <w:ind w:left="0"/>
        <w:jc w:val="both"/>
      </w:pPr>
      <w:r>
        <w:rPr>
          <w:rFonts w:ascii="Times New Roman"/>
          <w:b w:val="false"/>
          <w:i w:val="false"/>
          <w:color w:val="000000"/>
          <w:sz w:val="28"/>
        </w:rPr>
        <w:t>
      6. Алгоритм проведения скринингового осмотра на раннее выявление болезней системы кровообращения (артериальная гипертония, ишемическая болезнь сердца) и сахарного диабета:</w:t>
      </w:r>
    </w:p>
    <w:bookmarkEnd w:id="74"/>
    <w:bookmarkStart w:name="z82" w:id="75"/>
    <w:p>
      <w:pPr>
        <w:spacing w:after="0"/>
        <w:ind w:left="0"/>
        <w:jc w:val="both"/>
      </w:pPr>
      <w:r>
        <w:rPr>
          <w:rFonts w:ascii="Times New Roman"/>
          <w:b w:val="false"/>
          <w:i w:val="false"/>
          <w:color w:val="000000"/>
          <w:sz w:val="28"/>
        </w:rPr>
        <w:t>
      1) целевой группой являются мужчины и женщины в возрасте 18, 25, 30, 35, 40, 42, 44, 46, 48, 50, 52, 54, 56, 58, 60, 62, 64 лет, не состоящие на диспансерном учете по поводу артериальной гипертонии, ишемической болезни сердца и сахарного диабета;</w:t>
      </w:r>
    </w:p>
    <w:bookmarkEnd w:id="75"/>
    <w:bookmarkStart w:name="z83" w:id="76"/>
    <w:p>
      <w:pPr>
        <w:spacing w:after="0"/>
        <w:ind w:left="0"/>
        <w:jc w:val="both"/>
      </w:pPr>
      <w:r>
        <w:rPr>
          <w:rFonts w:ascii="Times New Roman"/>
          <w:b w:val="false"/>
          <w:i w:val="false"/>
          <w:color w:val="000000"/>
          <w:sz w:val="28"/>
        </w:rPr>
        <w:t>
      2) стадия проведения скринингового осмотра состоит из двух этапов:</w:t>
      </w:r>
    </w:p>
    <w:bookmarkEnd w:id="76"/>
    <w:p>
      <w:pPr>
        <w:spacing w:after="0"/>
        <w:ind w:left="0"/>
        <w:jc w:val="both"/>
      </w:pPr>
      <w:r>
        <w:rPr>
          <w:rFonts w:ascii="Times New Roman"/>
          <w:b w:val="false"/>
          <w:i w:val="false"/>
          <w:color w:val="000000"/>
          <w:sz w:val="28"/>
        </w:rPr>
        <w:t>
      первый этап проводится средним медицинским работником организации ПМСП/доврачебного кабинета отделения профилактики и социально-психологической помощи организации ПМСП, является обязательным для всей целевой группы и включает в себя:</w:t>
      </w:r>
    </w:p>
    <w:p>
      <w:pPr>
        <w:spacing w:after="0"/>
        <w:ind w:left="0"/>
        <w:jc w:val="both"/>
      </w:pPr>
      <w:r>
        <w:rPr>
          <w:rFonts w:ascii="Times New Roman"/>
          <w:b w:val="false"/>
          <w:i w:val="false"/>
          <w:color w:val="000000"/>
          <w:sz w:val="28"/>
        </w:rPr>
        <w:t>
      заполнение формы 025-08/у;</w:t>
      </w:r>
    </w:p>
    <w:p>
      <w:pPr>
        <w:spacing w:after="0"/>
        <w:ind w:left="0"/>
        <w:jc w:val="both"/>
      </w:pPr>
      <w:r>
        <w:rPr>
          <w:rFonts w:ascii="Times New Roman"/>
          <w:b w:val="false"/>
          <w:i w:val="false"/>
          <w:color w:val="000000"/>
          <w:sz w:val="28"/>
        </w:rPr>
        <w:t>
      проведение антропометрических измерений (вес, рост, объем талии), вычисление индекса Кетле;</w:t>
      </w:r>
    </w:p>
    <w:p>
      <w:pPr>
        <w:spacing w:after="0"/>
        <w:ind w:left="0"/>
        <w:jc w:val="both"/>
      </w:pPr>
      <w:r>
        <w:rPr>
          <w:rFonts w:ascii="Times New Roman"/>
          <w:b w:val="false"/>
          <w:i w:val="false"/>
          <w:color w:val="000000"/>
          <w:sz w:val="28"/>
        </w:rPr>
        <w:t>
      проведение опроса по скрининг-тесту;</w:t>
      </w:r>
    </w:p>
    <w:p>
      <w:pPr>
        <w:spacing w:after="0"/>
        <w:ind w:left="0"/>
        <w:jc w:val="both"/>
      </w:pPr>
      <w:r>
        <w:rPr>
          <w:rFonts w:ascii="Times New Roman"/>
          <w:b w:val="false"/>
          <w:i w:val="false"/>
          <w:color w:val="000000"/>
          <w:sz w:val="28"/>
        </w:rPr>
        <w:t>
      двукратное измерение АД, при этом пациенту доводится до сведения, что перед измерением АД нельзя пить кофе и крепкий чай в течение 1 часа перед исследованием, не курить 30 минут, исключить прием симпатомиметиков, в том числе назальных и глазных капель;</w:t>
      </w:r>
    </w:p>
    <w:p>
      <w:pPr>
        <w:spacing w:after="0"/>
        <w:ind w:left="0"/>
        <w:jc w:val="both"/>
      </w:pPr>
      <w:r>
        <w:rPr>
          <w:rFonts w:ascii="Times New Roman"/>
          <w:b w:val="false"/>
          <w:i w:val="false"/>
          <w:color w:val="000000"/>
          <w:sz w:val="28"/>
        </w:rPr>
        <w:t>
      проведение экспресс-диагностики общего холестерина и глюкозы крови (при отсутствии такового оборудования, биоматериал (кровь) пациента направляется в лабораторию данной организации ПМСП);</w:t>
      </w:r>
    </w:p>
    <w:p>
      <w:pPr>
        <w:spacing w:after="0"/>
        <w:ind w:left="0"/>
        <w:jc w:val="both"/>
      </w:pPr>
      <w:r>
        <w:rPr>
          <w:rFonts w:ascii="Times New Roman"/>
          <w:b w:val="false"/>
          <w:i w:val="false"/>
          <w:color w:val="000000"/>
          <w:sz w:val="28"/>
        </w:rPr>
        <w:t>
      второй этап проводится выборочно при наличии показаний (проведение электрокардиографического исследования (далее – ЭКГ), осмотр профильного специалиста);</w:t>
      </w:r>
    </w:p>
    <w:bookmarkStart w:name="z84" w:id="77"/>
    <w:p>
      <w:pPr>
        <w:spacing w:after="0"/>
        <w:ind w:left="0"/>
        <w:jc w:val="both"/>
      </w:pPr>
      <w:r>
        <w:rPr>
          <w:rFonts w:ascii="Times New Roman"/>
          <w:b w:val="false"/>
          <w:i w:val="false"/>
          <w:color w:val="000000"/>
          <w:sz w:val="28"/>
        </w:rPr>
        <w:t>
      3) врач ПМСП/отделения (кабинета) профилактики и социально-психологической помощи организации ПМСП:</w:t>
      </w:r>
    </w:p>
    <w:bookmarkEnd w:id="77"/>
    <w:p>
      <w:pPr>
        <w:spacing w:after="0"/>
        <w:ind w:left="0"/>
        <w:jc w:val="both"/>
      </w:pPr>
      <w:r>
        <w:rPr>
          <w:rFonts w:ascii="Times New Roman"/>
          <w:b w:val="false"/>
          <w:i w:val="false"/>
          <w:color w:val="000000"/>
          <w:sz w:val="28"/>
        </w:rPr>
        <w:t xml:space="preserve">
      при отсутствии факторов риска заболеваний рекомендует проведение последующего скринигового осмотра в соответствии с периодичностью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выявлении двух и более факторов риска (курение, злоупотребление алкоголя, индекс Кетле свыше 25, объем талии у мужчин более 94 см, у женщин – более 80 см), при уровне систолического АД 140 мм рт. ст. и более или диастолического АД 90 мм рт. ст. и более, при положительных ответах на скрининг-тест (пункты 17-20 формы 025-08/у) направляет пациента на ЭКГ и при необходимости на консультацию профильных специалистов (кардиолог, эндокринолог);</w:t>
      </w:r>
    </w:p>
    <w:bookmarkStart w:name="z85" w:id="78"/>
    <w:p>
      <w:pPr>
        <w:spacing w:after="0"/>
        <w:ind w:left="0"/>
        <w:jc w:val="both"/>
      </w:pPr>
      <w:r>
        <w:rPr>
          <w:rFonts w:ascii="Times New Roman"/>
          <w:b w:val="false"/>
          <w:i w:val="false"/>
          <w:color w:val="000000"/>
          <w:sz w:val="28"/>
        </w:rPr>
        <w:t>
      4) кардиолог, эндокринолог отделения консультативно-диагностической помощи сельской, районной, городской поликлиники или консультативно-диагностического центра/поликлиники:</w:t>
      </w:r>
    </w:p>
    <w:bookmarkEnd w:id="78"/>
    <w:p>
      <w:pPr>
        <w:spacing w:after="0"/>
        <w:ind w:left="0"/>
        <w:jc w:val="both"/>
      </w:pPr>
      <w:r>
        <w:rPr>
          <w:rFonts w:ascii="Times New Roman"/>
          <w:b w:val="false"/>
          <w:i w:val="false"/>
          <w:color w:val="000000"/>
          <w:sz w:val="28"/>
        </w:rPr>
        <w:t>
      проводит дообследование, при необходимости, направляет в специализированный (кардиологический, эндокринологический) центр/диспансер;</w:t>
      </w:r>
    </w:p>
    <w:p>
      <w:pPr>
        <w:spacing w:after="0"/>
        <w:ind w:left="0"/>
        <w:jc w:val="both"/>
      </w:pPr>
      <w:r>
        <w:rPr>
          <w:rFonts w:ascii="Times New Roman"/>
          <w:b w:val="false"/>
          <w:i w:val="false"/>
          <w:color w:val="000000"/>
          <w:sz w:val="28"/>
        </w:rPr>
        <w:t>
      направляет результаты обследования и рекомендации по дальнейшему наблюдению пациента врачу отделения (кабинета) профилактики и социально-психологической помощи, при его отсутствии, участковому врачу/врачу общей практики обслуживающего пациента.</w:t>
      </w:r>
    </w:p>
    <w:bookmarkStart w:name="z86" w:id="79"/>
    <w:p>
      <w:pPr>
        <w:spacing w:after="0"/>
        <w:ind w:left="0"/>
        <w:jc w:val="both"/>
      </w:pPr>
      <w:r>
        <w:rPr>
          <w:rFonts w:ascii="Times New Roman"/>
          <w:b w:val="false"/>
          <w:i w:val="false"/>
          <w:color w:val="000000"/>
          <w:sz w:val="28"/>
        </w:rPr>
        <w:t>
      7. Алгоритм проведения скринингового осмотра на раннее выявление глаукомы:</w:t>
      </w:r>
    </w:p>
    <w:bookmarkEnd w:id="79"/>
    <w:bookmarkStart w:name="z87" w:id="80"/>
    <w:p>
      <w:pPr>
        <w:spacing w:after="0"/>
        <w:ind w:left="0"/>
        <w:jc w:val="both"/>
      </w:pPr>
      <w:r>
        <w:rPr>
          <w:rFonts w:ascii="Times New Roman"/>
          <w:b w:val="false"/>
          <w:i w:val="false"/>
          <w:color w:val="000000"/>
          <w:sz w:val="28"/>
        </w:rPr>
        <w:t>
      1) целевой группой являются мужчины и женщины в возрасте 40, 42, 44, 46, 48, 50, 52, 54, 56, 58, 60, 62, 64, 66, 68, 70 лет, не состоящие на диспансерном учете по поводу глаукомы;</w:t>
      </w:r>
    </w:p>
    <w:bookmarkEnd w:id="80"/>
    <w:bookmarkStart w:name="z88" w:id="81"/>
    <w:p>
      <w:pPr>
        <w:spacing w:after="0"/>
        <w:ind w:left="0"/>
        <w:jc w:val="both"/>
      </w:pPr>
      <w:r>
        <w:rPr>
          <w:rFonts w:ascii="Times New Roman"/>
          <w:b w:val="false"/>
          <w:i w:val="false"/>
          <w:color w:val="000000"/>
          <w:sz w:val="28"/>
        </w:rPr>
        <w:t>
      2) средний медицинский работник организации ПМСП/доврачебного кабинета отделения профилактики и социально-психологической помощи, организации ПМСП:</w:t>
      </w:r>
    </w:p>
    <w:bookmarkEnd w:id="81"/>
    <w:p>
      <w:pPr>
        <w:spacing w:after="0"/>
        <w:ind w:left="0"/>
        <w:jc w:val="both"/>
      </w:pPr>
      <w:r>
        <w:rPr>
          <w:rFonts w:ascii="Times New Roman"/>
          <w:b w:val="false"/>
          <w:i w:val="false"/>
          <w:color w:val="000000"/>
          <w:sz w:val="28"/>
        </w:rPr>
        <w:t>
      заполняет форму 025-08/у;</w:t>
      </w:r>
    </w:p>
    <w:p>
      <w:pPr>
        <w:spacing w:after="0"/>
        <w:ind w:left="0"/>
        <w:jc w:val="both"/>
      </w:pPr>
      <w:r>
        <w:rPr>
          <w:rFonts w:ascii="Times New Roman"/>
          <w:b w:val="false"/>
          <w:i w:val="false"/>
          <w:color w:val="000000"/>
          <w:sz w:val="28"/>
        </w:rPr>
        <w:t>
      проводит опрос по скрининг-тесту;</w:t>
      </w:r>
    </w:p>
    <w:p>
      <w:pPr>
        <w:spacing w:after="0"/>
        <w:ind w:left="0"/>
        <w:jc w:val="both"/>
      </w:pPr>
      <w:r>
        <w:rPr>
          <w:rFonts w:ascii="Times New Roman"/>
          <w:b w:val="false"/>
          <w:i w:val="false"/>
          <w:color w:val="000000"/>
          <w:sz w:val="28"/>
        </w:rPr>
        <w:t>
      измеряет внутриглазное давление по Маклакову или с использованием бесконтактного тонометра;</w:t>
      </w:r>
    </w:p>
    <w:bookmarkStart w:name="z89" w:id="82"/>
    <w:p>
      <w:pPr>
        <w:spacing w:after="0"/>
        <w:ind w:left="0"/>
        <w:jc w:val="both"/>
      </w:pPr>
      <w:r>
        <w:rPr>
          <w:rFonts w:ascii="Times New Roman"/>
          <w:b w:val="false"/>
          <w:i w:val="false"/>
          <w:color w:val="000000"/>
          <w:sz w:val="28"/>
        </w:rPr>
        <w:t>
      3) при положительных ответах на скрининг-тест (пункты 23-26 формы 025-08/у) и/или повышенном внутриглазном давлении (свыше 26 мм рт. ст. при тонометрии по Маклакову и свыше 22 мм рт. ст. при бесконтактной тонометории) направляет пациента к офтальмологу консультативно-диагностического отделения районной, городской поликлиники, консультативно-диагностического центра/поликлиники;</w:t>
      </w:r>
    </w:p>
    <w:bookmarkEnd w:id="82"/>
    <w:bookmarkStart w:name="z90" w:id="83"/>
    <w:p>
      <w:pPr>
        <w:spacing w:after="0"/>
        <w:ind w:left="0"/>
        <w:jc w:val="both"/>
      </w:pPr>
      <w:r>
        <w:rPr>
          <w:rFonts w:ascii="Times New Roman"/>
          <w:b w:val="false"/>
          <w:i w:val="false"/>
          <w:color w:val="000000"/>
          <w:sz w:val="28"/>
        </w:rPr>
        <w:t>
      4) офтальмолог отделения консультативно-диагностической помощи сельской, районной, городской поликлиники или консультативно-диагностического центра/поликлиники:</w:t>
      </w:r>
    </w:p>
    <w:bookmarkEnd w:id="83"/>
    <w:p>
      <w:pPr>
        <w:spacing w:after="0"/>
        <w:ind w:left="0"/>
        <w:jc w:val="both"/>
      </w:pPr>
      <w:r>
        <w:rPr>
          <w:rFonts w:ascii="Times New Roman"/>
          <w:b w:val="false"/>
          <w:i w:val="false"/>
          <w:color w:val="000000"/>
          <w:sz w:val="28"/>
        </w:rPr>
        <w:t>
      проводит дообследование, при необходимости, направляет в глаукомный кабинет;</w:t>
      </w:r>
    </w:p>
    <w:p>
      <w:pPr>
        <w:spacing w:after="0"/>
        <w:ind w:left="0"/>
        <w:jc w:val="both"/>
      </w:pPr>
      <w:r>
        <w:rPr>
          <w:rFonts w:ascii="Times New Roman"/>
          <w:b w:val="false"/>
          <w:i w:val="false"/>
          <w:color w:val="000000"/>
          <w:sz w:val="28"/>
        </w:rPr>
        <w:t>
      направляет результаты обследования и рекомендации по дальнейшему наблюдению пациента врачу отделения (кабинета) профилактики и социально-психологической помощи, при его отсутствии, участковому врачу/врачу общей практики.</w:t>
      </w:r>
    </w:p>
    <w:bookmarkStart w:name="z91" w:id="84"/>
    <w:p>
      <w:pPr>
        <w:spacing w:after="0"/>
        <w:ind w:left="0"/>
        <w:jc w:val="both"/>
      </w:pPr>
      <w:r>
        <w:rPr>
          <w:rFonts w:ascii="Times New Roman"/>
          <w:b w:val="false"/>
          <w:i w:val="false"/>
          <w:color w:val="000000"/>
          <w:sz w:val="28"/>
        </w:rPr>
        <w:t>
      8. Алгоритм проведения скрининга на раннее выявление предопухолевых и опухолевых заболеваний молочной железы:</w:t>
      </w:r>
    </w:p>
    <w:bookmarkEnd w:id="84"/>
    <w:bookmarkStart w:name="z92" w:id="85"/>
    <w:p>
      <w:pPr>
        <w:spacing w:after="0"/>
        <w:ind w:left="0"/>
        <w:jc w:val="both"/>
      </w:pPr>
      <w:r>
        <w:rPr>
          <w:rFonts w:ascii="Times New Roman"/>
          <w:b w:val="false"/>
          <w:i w:val="false"/>
          <w:color w:val="000000"/>
          <w:sz w:val="28"/>
        </w:rPr>
        <w:t>
      1) целевой группой являются женщины в возрасте 50, 52, 54, 56, 58, 60 лет, не состоящие на диспансерном учете по поводу рака молочной железы;</w:t>
      </w:r>
    </w:p>
    <w:bookmarkEnd w:id="85"/>
    <w:bookmarkStart w:name="z93" w:id="86"/>
    <w:p>
      <w:pPr>
        <w:spacing w:after="0"/>
        <w:ind w:left="0"/>
        <w:jc w:val="both"/>
      </w:pPr>
      <w:r>
        <w:rPr>
          <w:rFonts w:ascii="Times New Roman"/>
          <w:b w:val="false"/>
          <w:i w:val="false"/>
          <w:color w:val="000000"/>
          <w:sz w:val="28"/>
        </w:rPr>
        <w:t>
      2) средний медицинский работник организации ПМСП/доврачебного кабинета отделения профилактики и социально-психологической помощи организации ПМСП:</w:t>
      </w:r>
    </w:p>
    <w:bookmarkEnd w:id="86"/>
    <w:p>
      <w:pPr>
        <w:spacing w:after="0"/>
        <w:ind w:left="0"/>
        <w:jc w:val="both"/>
      </w:pPr>
      <w:r>
        <w:rPr>
          <w:rFonts w:ascii="Times New Roman"/>
          <w:b w:val="false"/>
          <w:i w:val="false"/>
          <w:color w:val="000000"/>
          <w:sz w:val="28"/>
        </w:rPr>
        <w:t>
      заполняет форму 025-08/у;</w:t>
      </w:r>
    </w:p>
    <w:p>
      <w:pPr>
        <w:spacing w:after="0"/>
        <w:ind w:left="0"/>
        <w:jc w:val="both"/>
      </w:pPr>
      <w:r>
        <w:rPr>
          <w:rFonts w:ascii="Times New Roman"/>
          <w:b w:val="false"/>
          <w:i w:val="false"/>
          <w:color w:val="000000"/>
          <w:sz w:val="28"/>
        </w:rPr>
        <w:t>
      проводит антропометрические измерения (вес, рост, объем талии), вычисляет индекс Кетле;</w:t>
      </w:r>
    </w:p>
    <w:p>
      <w:pPr>
        <w:spacing w:after="0"/>
        <w:ind w:left="0"/>
        <w:jc w:val="both"/>
      </w:pPr>
      <w:r>
        <w:rPr>
          <w:rFonts w:ascii="Times New Roman"/>
          <w:b w:val="false"/>
          <w:i w:val="false"/>
          <w:color w:val="000000"/>
          <w:sz w:val="28"/>
        </w:rPr>
        <w:t>
      проводит опрос по скрининг-тесту (пункты 14-16 формы 025-08/у);</w:t>
      </w:r>
    </w:p>
    <w:p>
      <w:pPr>
        <w:spacing w:after="0"/>
        <w:ind w:left="0"/>
        <w:jc w:val="both"/>
      </w:pPr>
      <w:r>
        <w:rPr>
          <w:rFonts w:ascii="Times New Roman"/>
          <w:b w:val="false"/>
          <w:i w:val="false"/>
          <w:color w:val="000000"/>
          <w:sz w:val="28"/>
        </w:rPr>
        <w:t>
      направляет на маммографию в районную, городскую поликлиники;</w:t>
      </w:r>
    </w:p>
    <w:bookmarkStart w:name="z94" w:id="87"/>
    <w:p>
      <w:pPr>
        <w:spacing w:after="0"/>
        <w:ind w:left="0"/>
        <w:jc w:val="both"/>
      </w:pPr>
      <w:r>
        <w:rPr>
          <w:rFonts w:ascii="Times New Roman"/>
          <w:b w:val="false"/>
          <w:i w:val="false"/>
          <w:color w:val="000000"/>
          <w:sz w:val="28"/>
        </w:rPr>
        <w:t>
      3) маммография обеих молочных желез проводится в 2-х проекциях – прямой и косой в маммографическом кабинете городской, районной поликлиники (передвиджного медицинского комплекса);</w:t>
      </w:r>
    </w:p>
    <w:bookmarkEnd w:id="87"/>
    <w:bookmarkStart w:name="z95" w:id="88"/>
    <w:p>
      <w:pPr>
        <w:spacing w:after="0"/>
        <w:ind w:left="0"/>
        <w:jc w:val="both"/>
      </w:pPr>
      <w:r>
        <w:rPr>
          <w:rFonts w:ascii="Times New Roman"/>
          <w:b w:val="false"/>
          <w:i w:val="false"/>
          <w:color w:val="000000"/>
          <w:sz w:val="28"/>
        </w:rPr>
        <w:t>
      4) рентгенлаборантом маммографического кабинета заполняется форма скринингового маммографического обследования и журнал маммографического обследования целевых групп;</w:t>
      </w:r>
    </w:p>
    <w:bookmarkEnd w:id="88"/>
    <w:bookmarkStart w:name="z96" w:id="89"/>
    <w:p>
      <w:pPr>
        <w:spacing w:after="0"/>
        <w:ind w:left="0"/>
        <w:jc w:val="both"/>
      </w:pPr>
      <w:r>
        <w:rPr>
          <w:rFonts w:ascii="Times New Roman"/>
          <w:b w:val="false"/>
          <w:i w:val="false"/>
          <w:color w:val="000000"/>
          <w:sz w:val="28"/>
        </w:rPr>
        <w:t xml:space="preserve">
      5) врач-рентгенолог маммографического кабинета городской, районной поликлиники (передвиджного медицинского комплекса) проводит "первую читку" маммограмм с интерпретацией результатов по классификации BI-RADS, заполняет направление на "вторую читку"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Алгоритмам. Отрывной талон с заключением врача-рентгенолога "первой читки" маммограмм указанного направления (пункт 20) вклеивается в медицинскую карту амбулаторного пациента;</w:t>
      </w:r>
    </w:p>
    <w:bookmarkEnd w:id="89"/>
    <w:bookmarkStart w:name="z97" w:id="90"/>
    <w:p>
      <w:pPr>
        <w:spacing w:after="0"/>
        <w:ind w:left="0"/>
        <w:jc w:val="both"/>
      </w:pPr>
      <w:r>
        <w:rPr>
          <w:rFonts w:ascii="Times New Roman"/>
          <w:b w:val="false"/>
          <w:i w:val="false"/>
          <w:color w:val="000000"/>
          <w:sz w:val="28"/>
        </w:rPr>
        <w:t>
      6) все маммограммы, независимо от результата, направляются на "вторую читку" в онкологический диспансер, в том числе посредством телемедицинской связи. Передача маммограмм из поликлиники в онкологический диспансер проводится с сопровождающей документацией под роспись медицинского регистратора (архивариуса) маммографического кабинета онкологического диспансера. Все маммограммы архивируются в маммографическом архиве районной поликлиники, онкологического диспансера. Маммограммы, сделанные в рамках скрининга, пациентке не выдаются;</w:t>
      </w:r>
    </w:p>
    <w:bookmarkEnd w:id="90"/>
    <w:bookmarkStart w:name="z98" w:id="91"/>
    <w:p>
      <w:pPr>
        <w:spacing w:after="0"/>
        <w:ind w:left="0"/>
        <w:jc w:val="both"/>
      </w:pPr>
      <w:r>
        <w:rPr>
          <w:rFonts w:ascii="Times New Roman"/>
          <w:b w:val="false"/>
          <w:i w:val="false"/>
          <w:color w:val="000000"/>
          <w:sz w:val="28"/>
        </w:rPr>
        <w:t>
      7) врач ПМСП/отделения (кабинета) профилактики и социально-психологической помощи организации ПМСП при получении результата маммографии:</w:t>
      </w:r>
    </w:p>
    <w:bookmarkEnd w:id="91"/>
    <w:p>
      <w:pPr>
        <w:spacing w:after="0"/>
        <w:ind w:left="0"/>
        <w:jc w:val="both"/>
      </w:pPr>
      <w:r>
        <w:rPr>
          <w:rFonts w:ascii="Times New Roman"/>
          <w:b w:val="false"/>
          <w:i w:val="false"/>
          <w:color w:val="000000"/>
          <w:sz w:val="28"/>
        </w:rPr>
        <w:t>
      М1 (без патологии) – рекомендует пациентке проведение последующего маммографического обследования через 2 года;</w:t>
      </w:r>
    </w:p>
    <w:p>
      <w:pPr>
        <w:spacing w:after="0"/>
        <w:ind w:left="0"/>
        <w:jc w:val="both"/>
      </w:pPr>
      <w:r>
        <w:rPr>
          <w:rFonts w:ascii="Times New Roman"/>
          <w:b w:val="false"/>
          <w:i w:val="false"/>
          <w:color w:val="000000"/>
          <w:sz w:val="28"/>
        </w:rPr>
        <w:t>
      М2, М3 (доброкачественное образование молочной железы, больше данных за доброкачественное образование) – направляет пациентку на консультацию и динамическое наблюдение к онкологу, маммологу отделения консультативно-диагностической помощи сельской, районной, городской поликлиники или консультативно-диагностического центра/поликлиники;</w:t>
      </w:r>
    </w:p>
    <w:p>
      <w:pPr>
        <w:spacing w:after="0"/>
        <w:ind w:left="0"/>
        <w:jc w:val="both"/>
      </w:pPr>
      <w:r>
        <w:rPr>
          <w:rFonts w:ascii="Times New Roman"/>
          <w:b w:val="false"/>
          <w:i w:val="false"/>
          <w:color w:val="000000"/>
          <w:sz w:val="28"/>
        </w:rPr>
        <w:t>
      М6 (рак молочной железы, верифицированный патоморфологически) – направляет пациентку к онкологу, маммологу онкологического диспансера для лечения, диспансеризации и динамического наблюдения;</w:t>
      </w:r>
    </w:p>
    <w:bookmarkStart w:name="z99" w:id="92"/>
    <w:p>
      <w:pPr>
        <w:spacing w:after="0"/>
        <w:ind w:left="0"/>
        <w:jc w:val="both"/>
      </w:pPr>
      <w:r>
        <w:rPr>
          <w:rFonts w:ascii="Times New Roman"/>
          <w:b w:val="false"/>
          <w:i w:val="false"/>
          <w:color w:val="000000"/>
          <w:sz w:val="28"/>
        </w:rPr>
        <w:t>
      8) результаты обследования и рекомендации по дальнейшему наблюдению пациента направляются участковому врачу/ врачу общей практики.</w:t>
      </w:r>
    </w:p>
    <w:bookmarkEnd w:id="92"/>
    <w:bookmarkStart w:name="z100" w:id="93"/>
    <w:p>
      <w:pPr>
        <w:spacing w:after="0"/>
        <w:ind w:left="0"/>
        <w:jc w:val="both"/>
      </w:pPr>
      <w:r>
        <w:rPr>
          <w:rFonts w:ascii="Times New Roman"/>
          <w:b w:val="false"/>
          <w:i w:val="false"/>
          <w:color w:val="000000"/>
          <w:sz w:val="28"/>
        </w:rPr>
        <w:t>
      9. Алгоритм проведения скрининга на раннее выявление предопухолевых заболеваний и рака шейки матки:</w:t>
      </w:r>
    </w:p>
    <w:bookmarkEnd w:id="93"/>
    <w:bookmarkStart w:name="z101" w:id="94"/>
    <w:p>
      <w:pPr>
        <w:spacing w:after="0"/>
        <w:ind w:left="0"/>
        <w:jc w:val="both"/>
      </w:pPr>
      <w:r>
        <w:rPr>
          <w:rFonts w:ascii="Times New Roman"/>
          <w:b w:val="false"/>
          <w:i w:val="false"/>
          <w:color w:val="000000"/>
          <w:sz w:val="28"/>
        </w:rPr>
        <w:t>
      1) целевой группой являются женщины в возрасте 30, 35, 40, 45, 50, 55, 60 лет, не состоящие на диспансерном учете по поводу рака шейки матки;</w:t>
      </w:r>
    </w:p>
    <w:bookmarkEnd w:id="94"/>
    <w:bookmarkStart w:name="z102" w:id="95"/>
    <w:p>
      <w:pPr>
        <w:spacing w:after="0"/>
        <w:ind w:left="0"/>
        <w:jc w:val="both"/>
      </w:pPr>
      <w:r>
        <w:rPr>
          <w:rFonts w:ascii="Times New Roman"/>
          <w:b w:val="false"/>
          <w:i w:val="false"/>
          <w:color w:val="000000"/>
          <w:sz w:val="28"/>
        </w:rPr>
        <w:t>
      2) средний медицинский работник организации ПМСП/доврачебного кабинета отделения профилактики и социально-психологической помощи организации ПМСП:</w:t>
      </w:r>
    </w:p>
    <w:bookmarkEnd w:id="95"/>
    <w:p>
      <w:pPr>
        <w:spacing w:after="0"/>
        <w:ind w:left="0"/>
        <w:jc w:val="both"/>
      </w:pPr>
      <w:r>
        <w:rPr>
          <w:rFonts w:ascii="Times New Roman"/>
          <w:b w:val="false"/>
          <w:i w:val="false"/>
          <w:color w:val="000000"/>
          <w:sz w:val="28"/>
        </w:rPr>
        <w:t>
      на подготовительной стадии скринингового осмотра информирует пациентку о требованиях к прохождению скрининга: исключить половые сношения, влагалищные манипуляции, включая спринцевание, ванночки, тампоны и т.д. за сутки до осмотра;</w:t>
      </w:r>
    </w:p>
    <w:p>
      <w:pPr>
        <w:spacing w:after="0"/>
        <w:ind w:left="0"/>
        <w:jc w:val="both"/>
      </w:pPr>
      <w:r>
        <w:rPr>
          <w:rFonts w:ascii="Times New Roman"/>
          <w:b w:val="false"/>
          <w:i w:val="false"/>
          <w:color w:val="000000"/>
          <w:sz w:val="28"/>
        </w:rPr>
        <w:t>
      заполняет форму 025-08/у;</w:t>
      </w:r>
    </w:p>
    <w:p>
      <w:pPr>
        <w:spacing w:after="0"/>
        <w:ind w:left="0"/>
        <w:jc w:val="both"/>
      </w:pPr>
      <w:r>
        <w:rPr>
          <w:rFonts w:ascii="Times New Roman"/>
          <w:b w:val="false"/>
          <w:i w:val="false"/>
          <w:color w:val="000000"/>
          <w:sz w:val="28"/>
        </w:rPr>
        <w:t>
      проводит антропометрические измерения (вес, рост, объем талии), вычисляет индекс Кетле;</w:t>
      </w:r>
    </w:p>
    <w:p>
      <w:pPr>
        <w:spacing w:after="0"/>
        <w:ind w:left="0"/>
        <w:jc w:val="both"/>
      </w:pPr>
      <w:r>
        <w:rPr>
          <w:rFonts w:ascii="Times New Roman"/>
          <w:b w:val="false"/>
          <w:i w:val="false"/>
          <w:color w:val="000000"/>
          <w:sz w:val="28"/>
        </w:rPr>
        <w:t>
      проводит опрос по скрининг-тесту (пункты 14-16, 29 формы 025-08/у);</w:t>
      </w:r>
    </w:p>
    <w:p>
      <w:pPr>
        <w:spacing w:after="0"/>
        <w:ind w:left="0"/>
        <w:jc w:val="both"/>
      </w:pPr>
      <w:r>
        <w:rPr>
          <w:rFonts w:ascii="Times New Roman"/>
          <w:b w:val="false"/>
          <w:i w:val="false"/>
          <w:color w:val="000000"/>
          <w:sz w:val="28"/>
        </w:rPr>
        <w:t>
      направляет в смотровой кабинет организации ПМСП;</w:t>
      </w:r>
    </w:p>
    <w:bookmarkStart w:name="z103" w:id="96"/>
    <w:p>
      <w:pPr>
        <w:spacing w:after="0"/>
        <w:ind w:left="0"/>
        <w:jc w:val="both"/>
      </w:pPr>
      <w:r>
        <w:rPr>
          <w:rFonts w:ascii="Times New Roman"/>
          <w:b w:val="false"/>
          <w:i w:val="false"/>
          <w:color w:val="000000"/>
          <w:sz w:val="28"/>
        </w:rPr>
        <w:t>
      3) средний медицинский работник смотрового кабинета организации ПМСП:</w:t>
      </w:r>
    </w:p>
    <w:bookmarkEnd w:id="96"/>
    <w:p>
      <w:pPr>
        <w:spacing w:after="0"/>
        <w:ind w:left="0"/>
        <w:jc w:val="both"/>
      </w:pPr>
      <w:r>
        <w:rPr>
          <w:rFonts w:ascii="Times New Roman"/>
          <w:b w:val="false"/>
          <w:i w:val="false"/>
          <w:color w:val="000000"/>
          <w:sz w:val="28"/>
        </w:rPr>
        <w:t>
      осматривает шейку матки в зеркалах;</w:t>
      </w:r>
    </w:p>
    <w:p>
      <w:pPr>
        <w:spacing w:after="0"/>
        <w:ind w:left="0"/>
        <w:jc w:val="both"/>
      </w:pPr>
      <w:r>
        <w:rPr>
          <w:rFonts w:ascii="Times New Roman"/>
          <w:b w:val="false"/>
          <w:i w:val="false"/>
          <w:color w:val="000000"/>
          <w:sz w:val="28"/>
        </w:rPr>
        <w:t>
      осуществляет взятие мазков на цитологическое исследование (Рар-тест) традиционным методом (одно стекло) или методом жидкостной цитологии (один контейнер);</w:t>
      </w:r>
    </w:p>
    <w:p>
      <w:pPr>
        <w:spacing w:after="0"/>
        <w:ind w:left="0"/>
        <w:jc w:val="both"/>
      </w:pPr>
      <w:r>
        <w:rPr>
          <w:rFonts w:ascii="Times New Roman"/>
          <w:b w:val="false"/>
          <w:i w:val="false"/>
          <w:color w:val="000000"/>
          <w:sz w:val="28"/>
        </w:rPr>
        <w:t>
      заполняет направление на цитологическое исследование утвержденного образца и направляет биоматериал в цитологическую лабораторию онкологического диспансера;</w:t>
      </w:r>
    </w:p>
    <w:p>
      <w:pPr>
        <w:spacing w:after="0"/>
        <w:ind w:left="0"/>
        <w:jc w:val="both"/>
      </w:pPr>
      <w:r>
        <w:rPr>
          <w:rFonts w:ascii="Times New Roman"/>
          <w:b w:val="false"/>
          <w:i w:val="false"/>
          <w:color w:val="000000"/>
          <w:sz w:val="28"/>
        </w:rPr>
        <w:t>
      при наличии видимых визуальных изменений на шейке матки пациентка направляется на второй этап – осмотр врача акушер-гинеколога, кольпоскопию, взятие биопсии;</w:t>
      </w:r>
    </w:p>
    <w:p>
      <w:pPr>
        <w:spacing w:after="0"/>
        <w:ind w:left="0"/>
        <w:jc w:val="both"/>
      </w:pPr>
      <w:r>
        <w:rPr>
          <w:rFonts w:ascii="Times New Roman"/>
          <w:b w:val="false"/>
          <w:i w:val="false"/>
          <w:color w:val="000000"/>
          <w:sz w:val="28"/>
        </w:rPr>
        <w:t>
      осуществляет контроль за получением результатов Рар-теста из цитологической лаборатории онкологического диспансера;</w:t>
      </w:r>
    </w:p>
    <w:p>
      <w:pPr>
        <w:spacing w:after="0"/>
        <w:ind w:left="0"/>
        <w:jc w:val="both"/>
      </w:pPr>
      <w:r>
        <w:rPr>
          <w:rFonts w:ascii="Times New Roman"/>
          <w:b w:val="false"/>
          <w:i w:val="false"/>
          <w:color w:val="000000"/>
          <w:sz w:val="28"/>
        </w:rPr>
        <w:t>
      после получения результатов Рар-теста заполняет форму 025-08/у и передает врачу отделения (кабинета) профилактики и социально-психологической помощи организации ПМСП, при отсутствии, участковому врачу/врачу общей практики;</w:t>
      </w:r>
    </w:p>
    <w:bookmarkStart w:name="z104" w:id="97"/>
    <w:p>
      <w:pPr>
        <w:spacing w:after="0"/>
        <w:ind w:left="0"/>
        <w:jc w:val="both"/>
      </w:pPr>
      <w:r>
        <w:rPr>
          <w:rFonts w:ascii="Times New Roman"/>
          <w:b w:val="false"/>
          <w:i w:val="false"/>
          <w:color w:val="000000"/>
          <w:sz w:val="28"/>
        </w:rPr>
        <w:t>
      4) врач ПМСП/врач отделения (кабинета) профилактики и социально-психологической помощи организации ПМСП при получении результатов Рар-теста с интерпретацией результатов по системе Бетезда ТСБ, 2001:</w:t>
      </w:r>
    </w:p>
    <w:bookmarkEnd w:id="97"/>
    <w:p>
      <w:pPr>
        <w:spacing w:after="0"/>
        <w:ind w:left="0"/>
        <w:jc w:val="both"/>
      </w:pPr>
      <w:r>
        <w:rPr>
          <w:rFonts w:ascii="Times New Roman"/>
          <w:b w:val="false"/>
          <w:i w:val="false"/>
          <w:color w:val="000000"/>
          <w:sz w:val="28"/>
        </w:rPr>
        <w:t>
      "неудовлетворительный для оценки", "Образец не принят/не исследован", "Образец просмотрен и оценен, но данных недостаточно для оценки эпителиальной патологии" приглашает пациентку на цитологический скрининг повторно;</w:t>
      </w:r>
    </w:p>
    <w:p>
      <w:pPr>
        <w:spacing w:after="0"/>
        <w:ind w:left="0"/>
        <w:jc w:val="both"/>
      </w:pPr>
      <w:r>
        <w:rPr>
          <w:rFonts w:ascii="Times New Roman"/>
          <w:b w:val="false"/>
          <w:i w:val="false"/>
          <w:color w:val="000000"/>
          <w:sz w:val="28"/>
        </w:rPr>
        <w:t>
      категория I по ТСБ "Нет интраэпителиальных поражений или злокачественности" (т.е. норма) рекомендует пациентке проведение последующего цитологического скрининга через 5 лет;</w:t>
      </w:r>
    </w:p>
    <w:p>
      <w:pPr>
        <w:spacing w:after="0"/>
        <w:ind w:left="0"/>
        <w:jc w:val="both"/>
      </w:pPr>
      <w:r>
        <w:rPr>
          <w:rFonts w:ascii="Times New Roman"/>
          <w:b w:val="false"/>
          <w:i w:val="false"/>
          <w:color w:val="000000"/>
          <w:sz w:val="28"/>
        </w:rPr>
        <w:t>
      категории II "Микроорганизмы", III "Другие изменения эпителиальных клеток (реактивные клеточные изменения, железистые клетки после гистерэктомии, атрофия)", IV "Атипия эпителиальных клеток (ASC, ASC-US, ASC-H, LSIL)" (за исключением HSIL, CIS, плоскоклеточного рака (инвазивного рака шейки матки), V "Другое (эндометриальные клетки у женщин старше 40 лет)" по ТСБ рекомендует пациентке дообследование, лечение и динамическое наблюдение у врача-гинеколога районной, городской поликлиники;</w:t>
      </w:r>
    </w:p>
    <w:p>
      <w:pPr>
        <w:spacing w:after="0"/>
        <w:ind w:left="0"/>
        <w:jc w:val="both"/>
      </w:pPr>
      <w:r>
        <w:rPr>
          <w:rFonts w:ascii="Times New Roman"/>
          <w:b w:val="false"/>
          <w:i w:val="false"/>
          <w:color w:val="000000"/>
          <w:sz w:val="28"/>
        </w:rPr>
        <w:t>
      категория IV по ТСБ "HSIL, CIS, плоскоклеточный рак (инвазивный рак шейки матки)" направляет пациентку в онкологический диспансер для лечения и динамического наблюдения;</w:t>
      </w:r>
    </w:p>
    <w:p>
      <w:pPr>
        <w:spacing w:after="0"/>
        <w:ind w:left="0"/>
        <w:jc w:val="both"/>
      </w:pPr>
      <w:r>
        <w:rPr>
          <w:rFonts w:ascii="Times New Roman"/>
          <w:b w:val="false"/>
          <w:i w:val="false"/>
          <w:color w:val="000000"/>
          <w:sz w:val="28"/>
        </w:rPr>
        <w:t>
      заносит результаты в форму 025-08/у. Бланк результата цитологического исследования вклеивается в медицинскую карту амбулаторного больного.</w:t>
      </w:r>
    </w:p>
    <w:bookmarkStart w:name="z105" w:id="98"/>
    <w:p>
      <w:pPr>
        <w:spacing w:after="0"/>
        <w:ind w:left="0"/>
        <w:jc w:val="both"/>
      </w:pPr>
      <w:r>
        <w:rPr>
          <w:rFonts w:ascii="Times New Roman"/>
          <w:b w:val="false"/>
          <w:i w:val="false"/>
          <w:color w:val="000000"/>
          <w:sz w:val="28"/>
        </w:rPr>
        <w:t>
      10. Алгоритм проведения скрининга на раннее выявление предопухолевых и опухолевых заболеваний толстой и прямой кишки:</w:t>
      </w:r>
    </w:p>
    <w:bookmarkEnd w:id="98"/>
    <w:bookmarkStart w:name="z106" w:id="99"/>
    <w:p>
      <w:pPr>
        <w:spacing w:after="0"/>
        <w:ind w:left="0"/>
        <w:jc w:val="both"/>
      </w:pPr>
      <w:r>
        <w:rPr>
          <w:rFonts w:ascii="Times New Roman"/>
          <w:b w:val="false"/>
          <w:i w:val="false"/>
          <w:color w:val="000000"/>
          <w:sz w:val="28"/>
        </w:rPr>
        <w:t>
      1) целевой группой являются мужчины и женщины 50, 52, 54, 56, 58, 60, 62, 64, 66, 68, 70 лет, не состоящие на учете по поводу полипоза, рака толстой и прямой кишки;</w:t>
      </w:r>
    </w:p>
    <w:bookmarkEnd w:id="99"/>
    <w:bookmarkStart w:name="z107" w:id="100"/>
    <w:p>
      <w:pPr>
        <w:spacing w:after="0"/>
        <w:ind w:left="0"/>
        <w:jc w:val="both"/>
      </w:pPr>
      <w:r>
        <w:rPr>
          <w:rFonts w:ascii="Times New Roman"/>
          <w:b w:val="false"/>
          <w:i w:val="false"/>
          <w:color w:val="000000"/>
          <w:sz w:val="28"/>
        </w:rPr>
        <w:t>
      2) средний медицинский работник организации ПМСП/доврачебного кабинета отделения профилактики и социально-психологической помощи организации ПМСП:</w:t>
      </w:r>
    </w:p>
    <w:bookmarkEnd w:id="100"/>
    <w:p>
      <w:pPr>
        <w:spacing w:after="0"/>
        <w:ind w:left="0"/>
        <w:jc w:val="both"/>
      </w:pPr>
      <w:r>
        <w:rPr>
          <w:rFonts w:ascii="Times New Roman"/>
          <w:b w:val="false"/>
          <w:i w:val="false"/>
          <w:color w:val="000000"/>
          <w:sz w:val="28"/>
        </w:rPr>
        <w:t>
      на подготовительной стадии скринингового осмотра информирует пациентов целевой группы о требованиях к прохождению скрининга: не следует проводить исследование в период менструации, при наличии кровоточащего геморроя, крови в моче или после значительных усилий при дефекации;</w:t>
      </w:r>
    </w:p>
    <w:p>
      <w:pPr>
        <w:spacing w:after="0"/>
        <w:ind w:left="0"/>
        <w:jc w:val="both"/>
      </w:pPr>
      <w:r>
        <w:rPr>
          <w:rFonts w:ascii="Times New Roman"/>
          <w:b w:val="false"/>
          <w:i w:val="false"/>
          <w:color w:val="000000"/>
          <w:sz w:val="28"/>
        </w:rPr>
        <w:t>
      заполняет форму 025-08/у;</w:t>
      </w:r>
    </w:p>
    <w:p>
      <w:pPr>
        <w:spacing w:after="0"/>
        <w:ind w:left="0"/>
        <w:jc w:val="both"/>
      </w:pPr>
      <w:r>
        <w:rPr>
          <w:rFonts w:ascii="Times New Roman"/>
          <w:b w:val="false"/>
          <w:i w:val="false"/>
          <w:color w:val="000000"/>
          <w:sz w:val="28"/>
        </w:rPr>
        <w:t>
      проводит опрос по скрининг-тесту (пункты 27, 28 формы 025-08/у);</w:t>
      </w:r>
    </w:p>
    <w:p>
      <w:pPr>
        <w:spacing w:after="0"/>
        <w:ind w:left="0"/>
        <w:jc w:val="both"/>
      </w:pPr>
      <w:r>
        <w:rPr>
          <w:rFonts w:ascii="Times New Roman"/>
          <w:b w:val="false"/>
          <w:i w:val="false"/>
          <w:color w:val="000000"/>
          <w:sz w:val="28"/>
        </w:rPr>
        <w:t>
      проводит и оценивает результат гемокульт-теста (отрицательный, положительный);</w:t>
      </w:r>
    </w:p>
    <w:bookmarkStart w:name="z108" w:id="101"/>
    <w:p>
      <w:pPr>
        <w:spacing w:after="0"/>
        <w:ind w:left="0"/>
        <w:jc w:val="both"/>
      </w:pPr>
      <w:r>
        <w:rPr>
          <w:rFonts w:ascii="Times New Roman"/>
          <w:b w:val="false"/>
          <w:i w:val="false"/>
          <w:color w:val="000000"/>
          <w:sz w:val="28"/>
        </w:rPr>
        <w:t>
      3) врач ПМСП/отделения (кабинета) профилактики и социально-психологической помощи организации ПМСП:</w:t>
      </w:r>
    </w:p>
    <w:bookmarkEnd w:id="101"/>
    <w:p>
      <w:pPr>
        <w:spacing w:after="0"/>
        <w:ind w:left="0"/>
        <w:jc w:val="both"/>
      </w:pPr>
      <w:r>
        <w:rPr>
          <w:rFonts w:ascii="Times New Roman"/>
          <w:b w:val="false"/>
          <w:i w:val="false"/>
          <w:color w:val="000000"/>
          <w:sz w:val="28"/>
        </w:rPr>
        <w:t>
      при отрицательном результате теста (нет скрытой крови в кале) рекомендует пациенту пройти обследование на гемокульт-тест через 2 года;</w:t>
      </w:r>
    </w:p>
    <w:p>
      <w:pPr>
        <w:spacing w:after="0"/>
        <w:ind w:left="0"/>
        <w:jc w:val="both"/>
      </w:pPr>
      <w:r>
        <w:rPr>
          <w:rFonts w:ascii="Times New Roman"/>
          <w:b w:val="false"/>
          <w:i w:val="false"/>
          <w:color w:val="000000"/>
          <w:sz w:val="28"/>
        </w:rPr>
        <w:t>
      при положительном результате теста (определение скрытой крови в кале) дает пациенту направление на второй этап к хирургу/проктологу районной, городской поликлиники для дальнейшего обследования;</w:t>
      </w:r>
    </w:p>
    <w:p>
      <w:pPr>
        <w:spacing w:after="0"/>
        <w:ind w:left="0"/>
        <w:jc w:val="both"/>
      </w:pPr>
      <w:r>
        <w:rPr>
          <w:rFonts w:ascii="Times New Roman"/>
          <w:b w:val="false"/>
          <w:i w:val="false"/>
          <w:color w:val="000000"/>
          <w:sz w:val="28"/>
        </w:rPr>
        <w:t>
      информирует пациента об обязательном проведении очистительных клизм накануне исследования;</w:t>
      </w:r>
    </w:p>
    <w:bookmarkStart w:name="z109" w:id="102"/>
    <w:p>
      <w:pPr>
        <w:spacing w:after="0"/>
        <w:ind w:left="0"/>
        <w:jc w:val="both"/>
      </w:pPr>
      <w:r>
        <w:rPr>
          <w:rFonts w:ascii="Times New Roman"/>
          <w:b w:val="false"/>
          <w:i w:val="false"/>
          <w:color w:val="000000"/>
          <w:sz w:val="28"/>
        </w:rPr>
        <w:t>
      4) хирург/проктолог районной, городской поликлиники:</w:t>
      </w:r>
    </w:p>
    <w:bookmarkEnd w:id="102"/>
    <w:p>
      <w:pPr>
        <w:spacing w:after="0"/>
        <w:ind w:left="0"/>
        <w:jc w:val="both"/>
      </w:pPr>
      <w:r>
        <w:rPr>
          <w:rFonts w:ascii="Times New Roman"/>
          <w:b w:val="false"/>
          <w:i w:val="false"/>
          <w:color w:val="000000"/>
          <w:sz w:val="28"/>
        </w:rPr>
        <w:t>
      по результатам исследования при наличии показаний (обнаружение или подозрении на опухоль) направляет на фиброколоноскопию для уточнения локализации опухоли и гистологической верификации;</w:t>
      </w:r>
    </w:p>
    <w:p>
      <w:pPr>
        <w:spacing w:after="0"/>
        <w:ind w:left="0"/>
        <w:jc w:val="both"/>
      </w:pPr>
      <w:r>
        <w:rPr>
          <w:rFonts w:ascii="Times New Roman"/>
          <w:b w:val="false"/>
          <w:i w:val="false"/>
          <w:color w:val="000000"/>
          <w:sz w:val="28"/>
        </w:rPr>
        <w:t>
      направляет лиц с выявленным колоректальным раком, выставленным на основании гистологического исследования биопсии, в онкологический диспансер для лечения и диспансерного учета;</w:t>
      </w:r>
    </w:p>
    <w:p>
      <w:pPr>
        <w:spacing w:after="0"/>
        <w:ind w:left="0"/>
        <w:jc w:val="both"/>
      </w:pPr>
      <w:r>
        <w:rPr>
          <w:rFonts w:ascii="Times New Roman"/>
          <w:b w:val="false"/>
          <w:i w:val="false"/>
          <w:color w:val="000000"/>
          <w:sz w:val="28"/>
        </w:rPr>
        <w:t>
      при выявлении облигатных и факультативных предраковых болезней толстой, прямой кишки направляет пациента для лечения и наблюдения к колопроктологу или гастроэнтерологу;</w:t>
      </w:r>
    </w:p>
    <w:p>
      <w:pPr>
        <w:spacing w:after="0"/>
        <w:ind w:left="0"/>
        <w:jc w:val="both"/>
      </w:pPr>
      <w:r>
        <w:rPr>
          <w:rFonts w:ascii="Times New Roman"/>
          <w:b w:val="false"/>
          <w:i w:val="false"/>
          <w:color w:val="000000"/>
          <w:sz w:val="28"/>
        </w:rPr>
        <w:t>
      при отсутствии каких-либо изменений направляет на дообследование для уточнения причины положительного гемокульт-теста;</w:t>
      </w:r>
    </w:p>
    <w:p>
      <w:pPr>
        <w:spacing w:after="0"/>
        <w:ind w:left="0"/>
        <w:jc w:val="both"/>
      </w:pPr>
      <w:r>
        <w:rPr>
          <w:rFonts w:ascii="Times New Roman"/>
          <w:b w:val="false"/>
          <w:i w:val="false"/>
          <w:color w:val="000000"/>
          <w:sz w:val="28"/>
        </w:rPr>
        <w:t>
      направляет окончательные результаты исследования врачу ПМСП/отделения профилактики и социально-психологической помощи организации ПМСП.</w:t>
      </w:r>
    </w:p>
    <w:bookmarkStart w:name="z110" w:id="103"/>
    <w:p>
      <w:pPr>
        <w:spacing w:after="0"/>
        <w:ind w:left="0"/>
        <w:jc w:val="left"/>
      </w:pPr>
      <w:r>
        <w:rPr>
          <w:rFonts w:ascii="Times New Roman"/>
          <w:b/>
          <w:i w:val="false"/>
          <w:color w:val="000000"/>
        </w:rPr>
        <w:t xml:space="preserve"> 3. Алгоритм этапности проведения</w:t>
      </w:r>
      <w:r>
        <w:br/>
      </w:r>
      <w:r>
        <w:rPr>
          <w:rFonts w:ascii="Times New Roman"/>
          <w:b/>
          <w:i w:val="false"/>
          <w:color w:val="000000"/>
        </w:rPr>
        <w:t>скрининговых осмотров детского населения</w:t>
      </w:r>
    </w:p>
    <w:bookmarkEnd w:id="103"/>
    <w:bookmarkStart w:name="z111" w:id="104"/>
    <w:p>
      <w:pPr>
        <w:spacing w:after="0"/>
        <w:ind w:left="0"/>
        <w:jc w:val="both"/>
      </w:pPr>
      <w:r>
        <w:rPr>
          <w:rFonts w:ascii="Times New Roman"/>
          <w:b w:val="false"/>
          <w:i w:val="false"/>
          <w:color w:val="000000"/>
          <w:sz w:val="28"/>
        </w:rPr>
        <w:t>
      11. Доврачебный этап скринингового осмотра проводится средним медицинским работником медицинского пункта, фельдшерско-акушерского пункта, доврачебного кабинета отделения (кабинета) профилактики и социально-психологической помощи врачебной амбулатории, сельской, районной, городской поликлиники, средним медицинским работником дошкольного учреждения, организации образования и включает в себя:</w:t>
      </w:r>
    </w:p>
    <w:bookmarkEnd w:id="104"/>
    <w:bookmarkStart w:name="z112" w:id="105"/>
    <w:p>
      <w:pPr>
        <w:spacing w:after="0"/>
        <w:ind w:left="0"/>
        <w:jc w:val="both"/>
      </w:pPr>
      <w:r>
        <w:rPr>
          <w:rFonts w:ascii="Times New Roman"/>
          <w:b w:val="false"/>
          <w:i w:val="false"/>
          <w:color w:val="000000"/>
          <w:sz w:val="28"/>
        </w:rPr>
        <w:t>
      1) определение роста и массы тела;</w:t>
      </w:r>
    </w:p>
    <w:bookmarkEnd w:id="105"/>
    <w:bookmarkStart w:name="z113" w:id="106"/>
    <w:p>
      <w:pPr>
        <w:spacing w:after="0"/>
        <w:ind w:left="0"/>
        <w:jc w:val="both"/>
      </w:pPr>
      <w:r>
        <w:rPr>
          <w:rFonts w:ascii="Times New Roman"/>
          <w:b w:val="false"/>
          <w:i w:val="false"/>
          <w:color w:val="000000"/>
          <w:sz w:val="28"/>
        </w:rPr>
        <w:t>
      2) измерение объема головы и грудной клетки у детей раннего возраста (до 3 лет);</w:t>
      </w:r>
    </w:p>
    <w:bookmarkEnd w:id="106"/>
    <w:bookmarkStart w:name="z114" w:id="107"/>
    <w:p>
      <w:pPr>
        <w:spacing w:after="0"/>
        <w:ind w:left="0"/>
        <w:jc w:val="both"/>
      </w:pPr>
      <w:r>
        <w:rPr>
          <w:rFonts w:ascii="Times New Roman"/>
          <w:b w:val="false"/>
          <w:i w:val="false"/>
          <w:color w:val="000000"/>
          <w:sz w:val="28"/>
        </w:rPr>
        <w:t>
      3) оценка физического и психосоциального развития в соответствии с рекомендациями Всемирной организации здравоохранения;</w:t>
      </w:r>
    </w:p>
    <w:bookmarkEnd w:id="107"/>
    <w:bookmarkStart w:name="z115" w:id="108"/>
    <w:p>
      <w:pPr>
        <w:spacing w:after="0"/>
        <w:ind w:left="0"/>
        <w:jc w:val="both"/>
      </w:pPr>
      <w:r>
        <w:rPr>
          <w:rFonts w:ascii="Times New Roman"/>
          <w:b w:val="false"/>
          <w:i w:val="false"/>
          <w:color w:val="000000"/>
          <w:sz w:val="28"/>
        </w:rPr>
        <w:t>
      4) измерение артериального давления (у детей 7 лет и старше);</w:t>
      </w:r>
    </w:p>
    <w:bookmarkEnd w:id="108"/>
    <w:bookmarkStart w:name="z116" w:id="109"/>
    <w:p>
      <w:pPr>
        <w:spacing w:after="0"/>
        <w:ind w:left="0"/>
        <w:jc w:val="both"/>
      </w:pPr>
      <w:r>
        <w:rPr>
          <w:rFonts w:ascii="Times New Roman"/>
          <w:b w:val="false"/>
          <w:i w:val="false"/>
          <w:color w:val="000000"/>
          <w:sz w:val="28"/>
        </w:rPr>
        <w:t>
      5) проведение плантографии и ее оценка (у детей 5 лет и старше);</w:t>
      </w:r>
    </w:p>
    <w:bookmarkEnd w:id="109"/>
    <w:bookmarkStart w:name="z117" w:id="110"/>
    <w:p>
      <w:pPr>
        <w:spacing w:after="0"/>
        <w:ind w:left="0"/>
        <w:jc w:val="both"/>
      </w:pPr>
      <w:r>
        <w:rPr>
          <w:rFonts w:ascii="Times New Roman"/>
          <w:b w:val="false"/>
          <w:i w:val="false"/>
          <w:color w:val="000000"/>
          <w:sz w:val="28"/>
        </w:rPr>
        <w:t>
      6) определение остроты зрения;</w:t>
      </w:r>
    </w:p>
    <w:bookmarkEnd w:id="110"/>
    <w:bookmarkStart w:name="z118" w:id="111"/>
    <w:p>
      <w:pPr>
        <w:spacing w:after="0"/>
        <w:ind w:left="0"/>
        <w:jc w:val="both"/>
      </w:pPr>
      <w:r>
        <w:rPr>
          <w:rFonts w:ascii="Times New Roman"/>
          <w:b w:val="false"/>
          <w:i w:val="false"/>
          <w:color w:val="000000"/>
          <w:sz w:val="28"/>
        </w:rPr>
        <w:t>
      7) исследование остроты слуха. У детей 3 лет и старше исследование проводится с помощью шепотной речи на оба уха поочередно, в тихом помещении на расстоянии между средним медицинским работником и ребенком не менее 5 м.</w:t>
      </w:r>
    </w:p>
    <w:bookmarkEnd w:id="111"/>
    <w:bookmarkStart w:name="z119" w:id="112"/>
    <w:p>
      <w:pPr>
        <w:spacing w:after="0"/>
        <w:ind w:left="0"/>
        <w:jc w:val="both"/>
      </w:pPr>
      <w:r>
        <w:rPr>
          <w:rFonts w:ascii="Times New Roman"/>
          <w:b w:val="false"/>
          <w:i w:val="false"/>
          <w:color w:val="000000"/>
          <w:sz w:val="28"/>
        </w:rPr>
        <w:t>
      8) оформление первичной медицинской документации по данным осмотра.</w:t>
      </w:r>
    </w:p>
    <w:bookmarkEnd w:id="112"/>
    <w:bookmarkStart w:name="z120" w:id="113"/>
    <w:p>
      <w:pPr>
        <w:spacing w:after="0"/>
        <w:ind w:left="0"/>
        <w:jc w:val="both"/>
      </w:pPr>
      <w:r>
        <w:rPr>
          <w:rFonts w:ascii="Times New Roman"/>
          <w:b w:val="false"/>
          <w:i w:val="false"/>
          <w:color w:val="000000"/>
          <w:sz w:val="28"/>
        </w:rPr>
        <w:t>
      12. Педиатрический этап проводится врачом педиатром, подростковым врачом, врачом общей практики, семейным врачом и включает в себя оценку состояния здоровья ребенка, психофизического, полового развития, выявление признаков жестокого обращения с учетом данных доврачебного обследования. В ходе этапа проводятся:</w:t>
      </w:r>
    </w:p>
    <w:bookmarkEnd w:id="113"/>
    <w:bookmarkStart w:name="z121" w:id="114"/>
    <w:p>
      <w:pPr>
        <w:spacing w:after="0"/>
        <w:ind w:left="0"/>
        <w:jc w:val="both"/>
      </w:pPr>
      <w:r>
        <w:rPr>
          <w:rFonts w:ascii="Times New Roman"/>
          <w:b w:val="false"/>
          <w:i w:val="false"/>
          <w:color w:val="000000"/>
          <w:sz w:val="28"/>
        </w:rPr>
        <w:t>
      1) осмотр кожных покровов и волосистой части головы;</w:t>
      </w:r>
    </w:p>
    <w:bookmarkEnd w:id="114"/>
    <w:bookmarkStart w:name="z122" w:id="115"/>
    <w:p>
      <w:pPr>
        <w:spacing w:after="0"/>
        <w:ind w:left="0"/>
        <w:jc w:val="both"/>
      </w:pPr>
      <w:r>
        <w:rPr>
          <w:rFonts w:ascii="Times New Roman"/>
          <w:b w:val="false"/>
          <w:i w:val="false"/>
          <w:color w:val="000000"/>
          <w:sz w:val="28"/>
        </w:rPr>
        <w:t>
      2) осмотр видимых слизистых оболочек: конъюнктивы глаз, полости рта, зева. Обращается внимание на состояние зубов, прикус, высоту стояния твердого неба, величину и вид небных миндалин, голосовую функцию (звучность голоса);</w:t>
      </w:r>
    </w:p>
    <w:bookmarkEnd w:id="115"/>
    <w:bookmarkStart w:name="z123" w:id="116"/>
    <w:p>
      <w:pPr>
        <w:spacing w:after="0"/>
        <w:ind w:left="0"/>
        <w:jc w:val="both"/>
      </w:pPr>
      <w:r>
        <w:rPr>
          <w:rFonts w:ascii="Times New Roman"/>
          <w:b w:val="false"/>
          <w:i w:val="false"/>
          <w:color w:val="000000"/>
          <w:sz w:val="28"/>
        </w:rPr>
        <w:t>
      3) осмотр и пальпация области щитовидной железы;</w:t>
      </w:r>
    </w:p>
    <w:bookmarkEnd w:id="116"/>
    <w:bookmarkStart w:name="z124" w:id="117"/>
    <w:p>
      <w:pPr>
        <w:spacing w:after="0"/>
        <w:ind w:left="0"/>
        <w:jc w:val="both"/>
      </w:pPr>
      <w:r>
        <w:rPr>
          <w:rFonts w:ascii="Times New Roman"/>
          <w:b w:val="false"/>
          <w:i w:val="false"/>
          <w:color w:val="000000"/>
          <w:sz w:val="28"/>
        </w:rPr>
        <w:t>
      4) пальпация периферических лимфоузлов: подчелюстных, паховых, подмышечных;</w:t>
      </w:r>
    </w:p>
    <w:bookmarkEnd w:id="117"/>
    <w:bookmarkStart w:name="z125" w:id="118"/>
    <w:p>
      <w:pPr>
        <w:spacing w:after="0"/>
        <w:ind w:left="0"/>
        <w:jc w:val="both"/>
      </w:pPr>
      <w:r>
        <w:rPr>
          <w:rFonts w:ascii="Times New Roman"/>
          <w:b w:val="false"/>
          <w:i w:val="false"/>
          <w:color w:val="000000"/>
          <w:sz w:val="28"/>
        </w:rPr>
        <w:t>
      5) исследование органов кровообращения (осмотр, аускультация сердца), определение частоты, наполнения, ритма пульса. При аускультации отмечают звучность и чистоту тонов. В случаях выявления сердечных шумов проводят исследования в различных положениях (стоя, лежа) и функциональные пробы с дозированной физической нагрузкой;</w:t>
      </w:r>
    </w:p>
    <w:bookmarkEnd w:id="118"/>
    <w:bookmarkStart w:name="z126" w:id="119"/>
    <w:p>
      <w:pPr>
        <w:spacing w:after="0"/>
        <w:ind w:left="0"/>
        <w:jc w:val="both"/>
      </w:pPr>
      <w:r>
        <w:rPr>
          <w:rFonts w:ascii="Times New Roman"/>
          <w:b w:val="false"/>
          <w:i w:val="false"/>
          <w:color w:val="000000"/>
          <w:sz w:val="28"/>
        </w:rPr>
        <w:t>
      6) исследование органов дыхания (аускультация легких);</w:t>
      </w:r>
    </w:p>
    <w:bookmarkEnd w:id="119"/>
    <w:bookmarkStart w:name="z127" w:id="120"/>
    <w:p>
      <w:pPr>
        <w:spacing w:after="0"/>
        <w:ind w:left="0"/>
        <w:jc w:val="both"/>
      </w:pPr>
      <w:r>
        <w:rPr>
          <w:rFonts w:ascii="Times New Roman"/>
          <w:b w:val="false"/>
          <w:i w:val="false"/>
          <w:color w:val="000000"/>
          <w:sz w:val="28"/>
        </w:rPr>
        <w:t>
      7) исследование органов пищеварения (пальпация органов брюшной полости, области правого подреберья, печени, эпигастральной области, селезенки, правой и левой подвздошной областей, надлобковой области). Обращается внимание на состояние слизистых, обложенность языка, десен, верхнего неба, зубов. Выявляются симптомы хронической интоксикации (бледность кожных покровов, орбитальные тени);</w:t>
      </w:r>
    </w:p>
    <w:bookmarkEnd w:id="120"/>
    <w:bookmarkStart w:name="z128" w:id="121"/>
    <w:p>
      <w:pPr>
        <w:spacing w:after="0"/>
        <w:ind w:left="0"/>
        <w:jc w:val="both"/>
      </w:pPr>
      <w:r>
        <w:rPr>
          <w:rFonts w:ascii="Times New Roman"/>
          <w:b w:val="false"/>
          <w:i w:val="false"/>
          <w:color w:val="000000"/>
          <w:sz w:val="28"/>
        </w:rPr>
        <w:t>
      8) осмотр половых органов. При осмотре девочек старше 10 лет особое внимание уделяют гинекологическому анамнезу, жалобам, нарушению менструальной функции;</w:t>
      </w:r>
    </w:p>
    <w:bookmarkEnd w:id="121"/>
    <w:bookmarkStart w:name="z129" w:id="122"/>
    <w:p>
      <w:pPr>
        <w:spacing w:after="0"/>
        <w:ind w:left="0"/>
        <w:jc w:val="both"/>
      </w:pPr>
      <w:r>
        <w:rPr>
          <w:rFonts w:ascii="Times New Roman"/>
          <w:b w:val="false"/>
          <w:i w:val="false"/>
          <w:color w:val="000000"/>
          <w:sz w:val="28"/>
        </w:rPr>
        <w:t>
      9) оценка нервно-психического развития (далее – НПР) с определением варианта группы развития: 1 - нормальный уровень НПР; 2 - незначительные отклонения в НПР; 3 - выраженные отклонения в НПР.</w:t>
      </w:r>
    </w:p>
    <w:bookmarkEnd w:id="122"/>
    <w:p>
      <w:pPr>
        <w:spacing w:after="0"/>
        <w:ind w:left="0"/>
        <w:jc w:val="both"/>
      </w:pPr>
      <w:r>
        <w:rPr>
          <w:rFonts w:ascii="Times New Roman"/>
          <w:b w:val="false"/>
          <w:i w:val="false"/>
          <w:color w:val="000000"/>
          <w:sz w:val="28"/>
        </w:rPr>
        <w:t xml:space="preserve">
      У детей до 3 лет оценка НПР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января 2003 года № 83 "Об утверждении Правил организации скрининга психофизических нарушений у детей раннего возраста" (зарегистрированный в Реестре государственной регистрации нормативных правовых актов за № 2159, опубликованный в Бюллетене нормативных правовых актов Республики Казахстан, 2003 г., № 12, ст. 820).</w:t>
      </w:r>
    </w:p>
    <w:p>
      <w:pPr>
        <w:spacing w:after="0"/>
        <w:ind w:left="0"/>
        <w:jc w:val="both"/>
      </w:pPr>
      <w:r>
        <w:rPr>
          <w:rFonts w:ascii="Times New Roman"/>
          <w:b w:val="false"/>
          <w:i w:val="false"/>
          <w:color w:val="000000"/>
          <w:sz w:val="28"/>
        </w:rPr>
        <w:t xml:space="preserve">
      В 4-6 лет определяются категории: мышление и речь, моторное развитие, внимание и память, социальные контакты. В 7-8 лет: психомоторная сфера и поведение, интеллектуальное развитие, эмоционально-вегетативная сфера. В 9-10 лет добавляется оценка сформированности абстрактно–логических операций, логических суждений. </w:t>
      </w:r>
    </w:p>
    <w:p>
      <w:pPr>
        <w:spacing w:after="0"/>
        <w:ind w:left="0"/>
        <w:jc w:val="both"/>
      </w:pPr>
      <w:r>
        <w:rPr>
          <w:rFonts w:ascii="Times New Roman"/>
          <w:b w:val="false"/>
          <w:i w:val="false"/>
          <w:color w:val="000000"/>
          <w:sz w:val="28"/>
        </w:rPr>
        <w:t>
      В 11-17 лет определяются: эмоционально-вегетативная сфера, сомато-вегетативные проявления, вегето-диэнцефальные проявления;</w:t>
      </w:r>
    </w:p>
    <w:bookmarkStart w:name="z130" w:id="123"/>
    <w:p>
      <w:pPr>
        <w:spacing w:after="0"/>
        <w:ind w:left="0"/>
        <w:jc w:val="both"/>
      </w:pPr>
      <w:r>
        <w:rPr>
          <w:rFonts w:ascii="Times New Roman"/>
          <w:b w:val="false"/>
          <w:i w:val="false"/>
          <w:color w:val="000000"/>
          <w:sz w:val="28"/>
        </w:rPr>
        <w:t>
      10) оценка полового развития метод пубертограмм. Составляется половая формула: Ма+Р+Ах+Ме, вычисляется "балл полового развития", дается заключение (норма, опережение, отставание);</w:t>
      </w:r>
    </w:p>
    <w:bookmarkEnd w:id="123"/>
    <w:bookmarkStart w:name="z131" w:id="124"/>
    <w:p>
      <w:pPr>
        <w:spacing w:after="0"/>
        <w:ind w:left="0"/>
        <w:jc w:val="both"/>
      </w:pPr>
      <w:r>
        <w:rPr>
          <w:rFonts w:ascii="Times New Roman"/>
          <w:b w:val="false"/>
          <w:i w:val="false"/>
          <w:color w:val="000000"/>
          <w:sz w:val="28"/>
        </w:rPr>
        <w:t>
      11) выявление признаков жестокого обращения путем выявления не характерных для данного возраста травм и их последствий, признаков побоев (линейные кровоподтеки после ударов палки или прутом, кровоподтеки в виде петли после ударов ремнем, веревкой, следу связывания, стягивания веревкой или ремнем, следы прижиганий сигаретой, кровоизлияния в сетчатку глаз, субдуральные гематомы). При подозрении на насилие необходимо уведомить органы по защите прав детей и направить на консультацию к психологу;</w:t>
      </w:r>
    </w:p>
    <w:bookmarkEnd w:id="124"/>
    <w:bookmarkStart w:name="z132" w:id="125"/>
    <w:p>
      <w:pPr>
        <w:spacing w:after="0"/>
        <w:ind w:left="0"/>
        <w:jc w:val="both"/>
      </w:pPr>
      <w:r>
        <w:rPr>
          <w:rFonts w:ascii="Times New Roman"/>
          <w:b w:val="false"/>
          <w:i w:val="false"/>
          <w:color w:val="000000"/>
          <w:sz w:val="28"/>
        </w:rPr>
        <w:t>
      12) по завершении скринингового осмотра проводится комплексная оценка здоровья, оформляемая в форме заключения о состоянии здоровья ребенка. Заключение о состоянии здоровья ребенка включает в себя определение наличия факторов риска; оценку физического, нервно-психического развития, резистентности, определение группы динамического наблюдения. В заключении даются рекомендации по соблюдению санитарно-гигиенических правил, режиму, физическому воспитанию и закаливанию, психолого-педагогическим мероприятиям, по проведению профилактических прививок, по профилактике пограничных состояний и заболеваний.</w:t>
      </w:r>
    </w:p>
    <w:bookmarkEnd w:id="125"/>
    <w:bookmarkStart w:name="z133" w:id="126"/>
    <w:p>
      <w:pPr>
        <w:spacing w:after="0"/>
        <w:ind w:left="0"/>
        <w:jc w:val="both"/>
      </w:pPr>
      <w:r>
        <w:rPr>
          <w:rFonts w:ascii="Times New Roman"/>
          <w:b w:val="false"/>
          <w:i w:val="false"/>
          <w:color w:val="000000"/>
          <w:sz w:val="28"/>
        </w:rPr>
        <w:t>
      13. Специализированный этап. Проводится врачами-специалистами с заполнением учетно-отчетной документации:</w:t>
      </w:r>
    </w:p>
    <w:bookmarkEnd w:id="126"/>
    <w:bookmarkStart w:name="z134" w:id="127"/>
    <w:p>
      <w:pPr>
        <w:spacing w:after="0"/>
        <w:ind w:left="0"/>
        <w:jc w:val="both"/>
      </w:pPr>
      <w:r>
        <w:rPr>
          <w:rFonts w:ascii="Times New Roman"/>
          <w:b w:val="false"/>
          <w:i w:val="false"/>
          <w:color w:val="000000"/>
          <w:sz w:val="28"/>
        </w:rPr>
        <w:t>
      1) хирург/ортопед у детей раннего возраста обращает внимание на наличие расширения пупочного, паховых колец, грыжевых выпячиваний в области белой линии живота, крипторхизма, выпадения прямой кишки, деформацию конечностей, грудной клетки. У детей дошкольного и школьного возраста определяется наличие деформации позвоночника, нарушений осанки, функций крупных и мелких суставов. Проводится осмотр состояния сводов стоп, оценка плантограммы, оценка походки. У мальчиков определяется опущение яичек;</w:t>
      </w:r>
    </w:p>
    <w:bookmarkEnd w:id="127"/>
    <w:bookmarkStart w:name="z135" w:id="128"/>
    <w:p>
      <w:pPr>
        <w:spacing w:after="0"/>
        <w:ind w:left="0"/>
        <w:jc w:val="both"/>
      </w:pPr>
      <w:r>
        <w:rPr>
          <w:rFonts w:ascii="Times New Roman"/>
          <w:b w:val="false"/>
          <w:i w:val="false"/>
          <w:color w:val="000000"/>
          <w:sz w:val="28"/>
        </w:rPr>
        <w:t>
      2) уролог исключает патологию мочеполовой системы;</w:t>
      </w:r>
    </w:p>
    <w:bookmarkEnd w:id="128"/>
    <w:bookmarkStart w:name="z136" w:id="129"/>
    <w:p>
      <w:pPr>
        <w:spacing w:after="0"/>
        <w:ind w:left="0"/>
        <w:jc w:val="both"/>
      </w:pPr>
      <w:r>
        <w:rPr>
          <w:rFonts w:ascii="Times New Roman"/>
          <w:b w:val="false"/>
          <w:i w:val="false"/>
          <w:color w:val="000000"/>
          <w:sz w:val="28"/>
        </w:rPr>
        <w:t>
      3) отоларинголог проводит переднюю риноскопию и проверку дыхательной функции носа, заднюю риноскопию, фарингоскопию, пальпацию шейных лимфоузлов (подчелюстных, передних и задних шейных, заушных), отоскопию, исследование слуха;</w:t>
      </w:r>
    </w:p>
    <w:bookmarkEnd w:id="129"/>
    <w:bookmarkStart w:name="z137" w:id="130"/>
    <w:p>
      <w:pPr>
        <w:spacing w:after="0"/>
        <w:ind w:left="0"/>
        <w:jc w:val="both"/>
      </w:pPr>
      <w:r>
        <w:rPr>
          <w:rFonts w:ascii="Times New Roman"/>
          <w:b w:val="false"/>
          <w:i w:val="false"/>
          <w:color w:val="000000"/>
          <w:sz w:val="28"/>
        </w:rPr>
        <w:t>
      4) невролог проводит общий осмотр (определение наличия дермографических черт, сосудистого рисунка и др.), исследование состояния черепно-мозговых нервов, двигательных функций; сухожильных, периостальных, кожных рефлексов; оценку вегетативной регуляции;</w:t>
      </w:r>
    </w:p>
    <w:bookmarkEnd w:id="130"/>
    <w:bookmarkStart w:name="z138" w:id="131"/>
    <w:p>
      <w:pPr>
        <w:spacing w:after="0"/>
        <w:ind w:left="0"/>
        <w:jc w:val="both"/>
      </w:pPr>
      <w:r>
        <w:rPr>
          <w:rFonts w:ascii="Times New Roman"/>
          <w:b w:val="false"/>
          <w:i w:val="false"/>
          <w:color w:val="000000"/>
          <w:sz w:val="28"/>
        </w:rPr>
        <w:t>
      5) стоматолог проводит комплексное обследование ребенка с оценкой состояния прикуса, пародонта, индексов гигиены, РМА, КПУ, степени активности кариеса, плана диспансеризации, реабилитации и профилактики;</w:t>
      </w:r>
    </w:p>
    <w:bookmarkEnd w:id="131"/>
    <w:bookmarkStart w:name="z139" w:id="132"/>
    <w:p>
      <w:pPr>
        <w:spacing w:after="0"/>
        <w:ind w:left="0"/>
        <w:jc w:val="both"/>
      </w:pPr>
      <w:r>
        <w:rPr>
          <w:rFonts w:ascii="Times New Roman"/>
          <w:b w:val="false"/>
          <w:i w:val="false"/>
          <w:color w:val="000000"/>
          <w:sz w:val="28"/>
        </w:rPr>
        <w:t>
      6) офтальмолог проводит определение остроты зрения, внешний осмотр органа зрения; осмотр с боковым освещением и в проходящем свете, офтальмоскопию;</w:t>
      </w:r>
    </w:p>
    <w:bookmarkEnd w:id="132"/>
    <w:bookmarkStart w:name="z140" w:id="133"/>
    <w:p>
      <w:pPr>
        <w:spacing w:after="0"/>
        <w:ind w:left="0"/>
        <w:jc w:val="both"/>
      </w:pPr>
      <w:r>
        <w:rPr>
          <w:rFonts w:ascii="Times New Roman"/>
          <w:b w:val="false"/>
          <w:i w:val="false"/>
          <w:color w:val="000000"/>
          <w:sz w:val="28"/>
        </w:rPr>
        <w:t>
      7) эндокринолог проводит осмотр для исключения гинекомастии, задержки или преждевременного полового развития, задержки роста, ожирения, увеличения щитовидной железы, сахарного диабета, крипторхизма;</w:t>
      </w:r>
    </w:p>
    <w:bookmarkEnd w:id="133"/>
    <w:bookmarkStart w:name="z141" w:id="134"/>
    <w:p>
      <w:pPr>
        <w:spacing w:after="0"/>
        <w:ind w:left="0"/>
        <w:jc w:val="both"/>
      </w:pPr>
      <w:r>
        <w:rPr>
          <w:rFonts w:ascii="Times New Roman"/>
          <w:b w:val="false"/>
          <w:i w:val="false"/>
          <w:color w:val="000000"/>
          <w:sz w:val="28"/>
        </w:rPr>
        <w:t>
      8) педагог-психолог дает рекомендации по режиму адаптации в дошкольном учреждении, в различные возрастные периоды оценивает функциональную готовность, адаптацию к обучению в школе, при переходе к предметному обучению, профессиональной ориентации.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Алгоритмам этапности проведения</w:t>
            </w:r>
            <w:r>
              <w:br/>
            </w:r>
            <w:r>
              <w:rPr>
                <w:rFonts w:ascii="Times New Roman"/>
                <w:b w:val="false"/>
                <w:i w:val="false"/>
                <w:color w:val="000000"/>
                <w:sz w:val="20"/>
              </w:rPr>
              <w:t>скрининговых осмотров целевых</w:t>
            </w:r>
            <w:r>
              <w:br/>
            </w:r>
            <w:r>
              <w:rPr>
                <w:rFonts w:ascii="Times New Roman"/>
                <w:b w:val="false"/>
                <w:i w:val="false"/>
                <w:color w:val="000000"/>
                <w:sz w:val="20"/>
              </w:rPr>
              <w:t>групп населения</w:t>
            </w:r>
          </w:p>
        </w:tc>
      </w:tr>
    </w:tbl>
    <w:bookmarkStart w:name="z146" w:id="135"/>
    <w:p>
      <w:pPr>
        <w:spacing w:after="0"/>
        <w:ind w:left="0"/>
        <w:jc w:val="left"/>
      </w:pPr>
      <w:r>
        <w:rPr>
          <w:rFonts w:ascii="Times New Roman"/>
          <w:b/>
          <w:i w:val="false"/>
          <w:color w:val="000000"/>
        </w:rPr>
        <w:t xml:space="preserve">  Направление на "вторую читку" маммограмм</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Название мед. учреждения, город</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2. Дата: ________ 3. № амб. карты ___</w:t>
            </w:r>
          </w:p>
          <w:p>
            <w:pPr>
              <w:spacing w:after="20"/>
              <w:ind w:left="20"/>
              <w:jc w:val="both"/>
            </w:pPr>
            <w:r>
              <w:rPr>
                <w:rFonts w:ascii="Times New Roman"/>
                <w:b w:val="false"/>
                <w:i w:val="false"/>
                <w:color w:val="000000"/>
                <w:sz w:val="20"/>
              </w:rPr>
              <w:t>
4. ФИО ______________________________</w:t>
            </w:r>
          </w:p>
          <w:p>
            <w:pPr>
              <w:spacing w:after="20"/>
              <w:ind w:left="20"/>
              <w:jc w:val="both"/>
            </w:pPr>
            <w:r>
              <w:rPr>
                <w:rFonts w:ascii="Times New Roman"/>
                <w:b w:val="false"/>
                <w:i w:val="false"/>
                <w:color w:val="000000"/>
                <w:sz w:val="20"/>
              </w:rPr>
              <w:t>
5. Год рождения _____________________</w:t>
            </w:r>
          </w:p>
          <w:p>
            <w:pPr>
              <w:spacing w:after="20"/>
              <w:ind w:left="20"/>
              <w:jc w:val="both"/>
            </w:pPr>
            <w:r>
              <w:rPr>
                <w:rFonts w:ascii="Times New Roman"/>
                <w:b w:val="false"/>
                <w:i w:val="false"/>
                <w:color w:val="000000"/>
                <w:sz w:val="20"/>
              </w:rPr>
              <w:t>
6. адрес: ___________________________</w:t>
            </w:r>
          </w:p>
          <w:p>
            <w:pPr>
              <w:spacing w:after="20"/>
              <w:ind w:left="20"/>
              <w:jc w:val="both"/>
            </w:pPr>
            <w:r>
              <w:rPr>
                <w:rFonts w:ascii="Times New Roman"/>
                <w:b w:val="false"/>
                <w:i w:val="false"/>
                <w:color w:val="000000"/>
                <w:sz w:val="20"/>
              </w:rPr>
              <w:t>
контактный телефон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8. Первичная маммография</w:t>
            </w:r>
            <w:r>
              <w:rPr>
                <w:rFonts w:ascii="Times New Roman"/>
                <w:b w:val="false"/>
                <w:i w:val="false"/>
                <w:color w:val="000000"/>
                <w:sz w:val="20"/>
              </w:rPr>
              <w:t xml:space="preserve">   ДА/НЕТ</w:t>
            </w:r>
          </w:p>
          <w:p>
            <w:pPr>
              <w:spacing w:after="20"/>
              <w:ind w:left="20"/>
              <w:jc w:val="both"/>
            </w:pPr>
            <w:r>
              <w:rPr>
                <w:rFonts w:ascii="Times New Roman"/>
                <w:b w:val="false"/>
                <w:i w:val="false"/>
                <w:color w:val="000000"/>
                <w:sz w:val="20"/>
              </w:rPr>
              <w:t>
</w:t>
            </w:r>
            <w:r>
              <w:rPr>
                <w:rFonts w:ascii="Times New Roman"/>
                <w:b/>
                <w:i w:val="false"/>
                <w:color w:val="000000"/>
                <w:sz w:val="20"/>
              </w:rPr>
              <w:t>9. Повторная маммография</w:t>
            </w:r>
            <w:r>
              <w:rPr>
                <w:rFonts w:ascii="Times New Roman"/>
                <w:b w:val="false"/>
                <w:i w:val="false"/>
                <w:color w:val="000000"/>
                <w:sz w:val="20"/>
              </w:rPr>
              <w:t xml:space="preserve">   ДА/НЕТ</w:t>
            </w:r>
          </w:p>
          <w:p>
            <w:pPr>
              <w:spacing w:after="20"/>
              <w:ind w:left="20"/>
              <w:jc w:val="both"/>
            </w:pPr>
            <w:r>
              <w:rPr>
                <w:rFonts w:ascii="Times New Roman"/>
                <w:b w:val="false"/>
                <w:i w:val="false"/>
                <w:color w:val="000000"/>
                <w:sz w:val="20"/>
              </w:rPr>
              <w:t>
9.1 Дата/год ________________________</w:t>
            </w:r>
          </w:p>
          <w:p>
            <w:pPr>
              <w:spacing w:after="20"/>
              <w:ind w:left="20"/>
              <w:jc w:val="both"/>
            </w:pPr>
            <w:r>
              <w:rPr>
                <w:rFonts w:ascii="Times New Roman"/>
                <w:b w:val="false"/>
                <w:i w:val="false"/>
                <w:color w:val="000000"/>
                <w:sz w:val="20"/>
              </w:rPr>
              <w:t>
9.2 Место прохождения _______________</w:t>
            </w:r>
          </w:p>
          <w:p>
            <w:pPr>
              <w:spacing w:after="20"/>
              <w:ind w:left="20"/>
              <w:jc w:val="both"/>
            </w:pPr>
            <w:r>
              <w:rPr>
                <w:rFonts w:ascii="Times New Roman"/>
                <w:b w:val="false"/>
                <w:i w:val="false"/>
                <w:color w:val="000000"/>
                <w:sz w:val="20"/>
              </w:rPr>
              <w:t>
</w:t>
            </w:r>
            <w:r>
              <w:rPr>
                <w:rFonts w:ascii="Times New Roman"/>
                <w:b/>
                <w:i w:val="false"/>
                <w:color w:val="000000"/>
                <w:sz w:val="20"/>
              </w:rPr>
              <w:t>10. Менопауза</w:t>
            </w:r>
            <w:r>
              <w:rPr>
                <w:rFonts w:ascii="Times New Roman"/>
                <w:b w:val="false"/>
                <w:i w:val="false"/>
                <w:color w:val="000000"/>
                <w:sz w:val="20"/>
              </w:rPr>
              <w:t xml:space="preserve">      ДА/НЕТ</w:t>
            </w:r>
          </w:p>
          <w:p>
            <w:pPr>
              <w:spacing w:after="20"/>
              <w:ind w:left="20"/>
              <w:jc w:val="both"/>
            </w:pPr>
            <w:r>
              <w:rPr>
                <w:rFonts w:ascii="Times New Roman"/>
                <w:b w:val="false"/>
                <w:i w:val="false"/>
                <w:color w:val="000000"/>
                <w:sz w:val="20"/>
              </w:rPr>
              <w:t>
10.1 Сколько лет менопауза __________</w:t>
            </w:r>
          </w:p>
          <w:p>
            <w:pPr>
              <w:spacing w:after="20"/>
              <w:ind w:left="20"/>
              <w:jc w:val="both"/>
            </w:pPr>
            <w:r>
              <w:rPr>
                <w:rFonts w:ascii="Times New Roman"/>
                <w:b w:val="false"/>
                <w:i w:val="false"/>
                <w:color w:val="000000"/>
                <w:sz w:val="20"/>
              </w:rPr>
              <w:t>
/(последняя менструация) 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  Анамнез </w:t>
            </w:r>
            <w:r>
              <w:rPr>
                <w:rFonts w:ascii="Times New Roman"/>
                <w:b w:val="false"/>
                <w:i w:val="false"/>
                <w:color w:val="000000"/>
                <w:sz w:val="20"/>
              </w:rPr>
              <w:t>(указать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8"/>
              <w:gridCol w:w="1426"/>
              <w:gridCol w:w="1426"/>
            </w:tblGrid>
            <w:tr>
              <w:trPr>
                <w:trHeight w:val="30" w:hRule="atLeast"/>
              </w:trPr>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правая</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левая</w:t>
                  </w:r>
                </w:p>
              </w:tc>
            </w:tr>
            <w:tr>
              <w:trPr>
                <w:trHeight w:val="30" w:hRule="atLeast"/>
              </w:trPr>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Аспирация кисты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Секторальная</w:t>
                  </w:r>
                </w:p>
                <w:p>
                  <w:pPr>
                    <w:spacing w:after="20"/>
                    <w:ind w:left="20"/>
                    <w:jc w:val="both"/>
                  </w:pPr>
                  <w:r>
                    <w:rPr>
                      <w:rFonts w:ascii="Times New Roman"/>
                      <w:b w:val="false"/>
                      <w:i w:val="false"/>
                      <w:color w:val="000000"/>
                      <w:sz w:val="20"/>
                    </w:rPr>
                    <w:t>
резекция (удаление</w:t>
                  </w:r>
                </w:p>
                <w:p>
                  <w:pPr>
                    <w:spacing w:after="20"/>
                    <w:ind w:left="20"/>
                    <w:jc w:val="both"/>
                  </w:pPr>
                  <w:r>
                    <w:rPr>
                      <w:rFonts w:ascii="Times New Roman"/>
                      <w:b w:val="false"/>
                      <w:i w:val="false"/>
                      <w:color w:val="000000"/>
                      <w:sz w:val="20"/>
                    </w:rPr>
                    <w:t>
доброкачественного</w:t>
                  </w:r>
                </w:p>
                <w:p>
                  <w:pPr>
                    <w:spacing w:after="20"/>
                    <w:ind w:left="20"/>
                    <w:jc w:val="both"/>
                  </w:pPr>
                  <w:r>
                    <w:rPr>
                      <w:rFonts w:ascii="Times New Roman"/>
                      <w:b w:val="false"/>
                      <w:i w:val="false"/>
                      <w:color w:val="000000"/>
                      <w:sz w:val="20"/>
                    </w:rPr>
                    <w:t>
образования)</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Секторальная</w:t>
                  </w:r>
                </w:p>
                <w:p>
                  <w:pPr>
                    <w:spacing w:after="20"/>
                    <w:ind w:left="20"/>
                    <w:jc w:val="both"/>
                  </w:pPr>
                  <w:r>
                    <w:rPr>
                      <w:rFonts w:ascii="Times New Roman"/>
                      <w:b w:val="false"/>
                      <w:i w:val="false"/>
                      <w:color w:val="000000"/>
                      <w:sz w:val="20"/>
                    </w:rPr>
                    <w:t>
резекция (по поводу</w:t>
                  </w:r>
                </w:p>
                <w:p>
                  <w:pPr>
                    <w:spacing w:after="20"/>
                    <w:ind w:left="20"/>
                    <w:jc w:val="both"/>
                  </w:pPr>
                  <w:r>
                    <w:rPr>
                      <w:rFonts w:ascii="Times New Roman"/>
                      <w:b w:val="false"/>
                      <w:i w:val="false"/>
                      <w:color w:val="000000"/>
                      <w:sz w:val="20"/>
                    </w:rPr>
                    <w:t>
neo-процесса)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Мастэктомия</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Лучевая терапия</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Другие операции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12. Видимые изменения м/ж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1"/>
              <w:gridCol w:w="1329"/>
              <w:gridCol w:w="1330"/>
            </w:tblGrid>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правая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левая</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Изменение формы,</w:t>
                  </w:r>
                </w:p>
                <w:p>
                  <w:pPr>
                    <w:spacing w:after="20"/>
                    <w:ind w:left="20"/>
                    <w:jc w:val="both"/>
                  </w:pPr>
                  <w:r>
                    <w:rPr>
                      <w:rFonts w:ascii="Times New Roman"/>
                      <w:b w:val="false"/>
                      <w:i w:val="false"/>
                      <w:color w:val="000000"/>
                      <w:sz w:val="20"/>
                    </w:rPr>
                    <w:t>
размеров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Изменение соска,</w:t>
                  </w:r>
                </w:p>
                <w:p>
                  <w:pPr>
                    <w:spacing w:after="20"/>
                    <w:ind w:left="20"/>
                    <w:jc w:val="both"/>
                  </w:pPr>
                  <w:r>
                    <w:rPr>
                      <w:rFonts w:ascii="Times New Roman"/>
                      <w:b w:val="false"/>
                      <w:i w:val="false"/>
                      <w:color w:val="000000"/>
                      <w:sz w:val="20"/>
                    </w:rPr>
                    <w:t>
ареолы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Выделения из соска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Др.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Наследственность отягощена?</w:t>
            </w:r>
          </w:p>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
</w:t>
            </w:r>
            <w:r>
              <w:rPr>
                <w:rFonts w:ascii="Times New Roman"/>
                <w:b/>
                <w:i w:val="false"/>
                <w:color w:val="000000"/>
                <w:sz w:val="20"/>
              </w:rPr>
              <w:t>14. Изменение кожи</w:t>
            </w:r>
          </w:p>
          <w:p>
            <w:pPr>
              <w:spacing w:after="20"/>
              <w:ind w:left="20"/>
              <w:jc w:val="both"/>
            </w:pPr>
            <w:r>
              <w:rPr>
                <w:rFonts w:ascii="Times New Roman"/>
                <w:b w:val="false"/>
                <w:i w:val="false"/>
                <w:color w:val="000000"/>
                <w:sz w:val="20"/>
              </w:rPr>
              <w:t>
(наличие папиллом, родинок, рубцов)</w:t>
            </w:r>
          </w:p>
          <w:p>
            <w:pPr>
              <w:spacing w:after="20"/>
              <w:ind w:left="20"/>
              <w:jc w:val="both"/>
            </w:pPr>
            <w:r>
              <w:rPr>
                <w:rFonts w:ascii="Times New Roman"/>
                <w:b w:val="false"/>
                <w:i w:val="false"/>
                <w:color w:val="000000"/>
                <w:sz w:val="20"/>
              </w:rPr>
              <w:t>
</w:t>
            </w:r>
            <w:r>
              <w:rPr>
                <w:rFonts w:ascii="Times New Roman"/>
                <w:b/>
                <w:i w:val="false"/>
                <w:color w:val="000000"/>
                <w:sz w:val="20"/>
              </w:rPr>
              <w:t>15. Пальпируемое образование</w:t>
            </w:r>
          </w:p>
          <w:p>
            <w:pPr>
              <w:spacing w:after="20"/>
              <w:ind w:left="20"/>
              <w:jc w:val="both"/>
            </w:pPr>
            <w:r>
              <w:rPr>
                <w:rFonts w:ascii="Times New Roman"/>
                <w:b w:val="false"/>
                <w:i w:val="false"/>
                <w:color w:val="000000"/>
                <w:sz w:val="20"/>
              </w:rPr>
              <w:t>
</w:t>
            </w:r>
            <w:r>
              <w:rPr>
                <w:rFonts w:ascii="Times New Roman"/>
                <w:b/>
                <w:i w:val="false"/>
                <w:color w:val="000000"/>
                <w:sz w:val="20"/>
              </w:rPr>
              <w:t>молочных желез</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49657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657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17. Маммограммы (первая читка)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4417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41700" cy="471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6"/>
              <w:gridCol w:w="6004"/>
            </w:tblGrid>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Дата: _____________</w:t>
            </w:r>
          </w:p>
          <w:p>
            <w:pPr>
              <w:spacing w:after="20"/>
              <w:ind w:left="20"/>
              <w:jc w:val="both"/>
            </w:pPr>
            <w:r>
              <w:rPr>
                <w:rFonts w:ascii="Times New Roman"/>
                <w:b w:val="false"/>
                <w:i w:val="false"/>
                <w:color w:val="000000"/>
                <w:sz w:val="20"/>
              </w:rPr>
              <w:t>
Врач, подпись:</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4780"/>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Консультативно-диагностическое</w:t>
            </w:r>
          </w:p>
          <w:p>
            <w:pPr>
              <w:spacing w:after="20"/>
              <w:ind w:left="20"/>
              <w:jc w:val="both"/>
            </w:pPr>
            <w:r>
              <w:rPr>
                <w:rFonts w:ascii="Times New Roman"/>
                <w:b w:val="false"/>
                <w:i w:val="false"/>
                <w:color w:val="000000"/>
                <w:sz w:val="20"/>
              </w:rPr>
              <w:t>
</w:t>
            </w:r>
            <w:r>
              <w:rPr>
                <w:rFonts w:ascii="Times New Roman"/>
                <w:b/>
                <w:i w:val="false"/>
                <w:color w:val="000000"/>
                <w:sz w:val="20"/>
              </w:rPr>
              <w:t>отделение</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(онкодиспансер)</w:t>
            </w:r>
          </w:p>
          <w:p>
            <w:pPr>
              <w:spacing w:after="20"/>
              <w:ind w:left="20"/>
              <w:jc w:val="both"/>
            </w:pPr>
            <w:r>
              <w:rPr>
                <w:rFonts w:ascii="Times New Roman"/>
                <w:b w:val="false"/>
                <w:i w:val="false"/>
                <w:color w:val="000000"/>
                <w:sz w:val="20"/>
              </w:rPr>
              <w:t>
</w:t>
            </w:r>
            <w:r>
              <w:rPr>
                <w:rFonts w:ascii="Times New Roman"/>
                <w:b/>
                <w:i w:val="false"/>
                <w:color w:val="000000"/>
                <w:sz w:val="20"/>
              </w:rPr>
              <w:t>18.1 Вторая читка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6"/>
              <w:gridCol w:w="6004"/>
            </w:tblGrid>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Дата __________________</w:t>
            </w:r>
          </w:p>
          <w:p>
            <w:pPr>
              <w:spacing w:after="20"/>
              <w:ind w:left="20"/>
              <w:jc w:val="both"/>
            </w:pPr>
            <w:r>
              <w:rPr>
                <w:rFonts w:ascii="Times New Roman"/>
                <w:b w:val="false"/>
                <w:i w:val="false"/>
                <w:color w:val="000000"/>
                <w:sz w:val="20"/>
              </w:rPr>
              <w:t>
Врач, подпись:</w:t>
            </w:r>
          </w:p>
          <w:p>
            <w:pPr>
              <w:spacing w:after="20"/>
              <w:ind w:left="20"/>
              <w:jc w:val="both"/>
            </w:pPr>
            <w:r>
              <w:rPr>
                <w:rFonts w:ascii="Times New Roman"/>
                <w:b w:val="false"/>
                <w:i w:val="false"/>
                <w:color w:val="000000"/>
                <w:sz w:val="20"/>
              </w:rPr>
              <w:t>
</w:t>
            </w:r>
            <w:r>
              <w:rPr>
                <w:rFonts w:ascii="Times New Roman"/>
                <w:b/>
                <w:i w:val="false"/>
                <w:color w:val="000000"/>
                <w:sz w:val="20"/>
              </w:rPr>
              <w:t>18.2 Третья читка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6"/>
              <w:gridCol w:w="6004"/>
            </w:tblGrid>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w:t>
                  </w:r>
                </w:p>
              </w:tc>
            </w:tr>
            <w:tr>
              <w:trPr>
                <w:trHeight w:val="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Дата __________________</w:t>
            </w:r>
          </w:p>
          <w:p>
            <w:pPr>
              <w:spacing w:after="20"/>
              <w:ind w:left="20"/>
              <w:jc w:val="both"/>
            </w:pPr>
            <w:r>
              <w:rPr>
                <w:rFonts w:ascii="Times New Roman"/>
                <w:b w:val="false"/>
                <w:i w:val="false"/>
                <w:color w:val="000000"/>
                <w:sz w:val="20"/>
              </w:rPr>
              <w:t>
Врач, подпись:</w:t>
            </w:r>
          </w:p>
          <w:p>
            <w:pPr>
              <w:spacing w:after="20"/>
              <w:ind w:left="20"/>
              <w:jc w:val="both"/>
            </w:pPr>
            <w:r>
              <w:rPr>
                <w:rFonts w:ascii="Times New Roman"/>
                <w:b w:val="false"/>
                <w:i w:val="false"/>
                <w:color w:val="000000"/>
                <w:sz w:val="20"/>
              </w:rPr>
              <w:t>
</w:t>
            </w:r>
            <w:r>
              <w:rPr>
                <w:rFonts w:ascii="Times New Roman"/>
                <w:b/>
                <w:i w:val="false"/>
                <w:color w:val="000000"/>
                <w:sz w:val="20"/>
              </w:rPr>
              <w:t>19. Рекомендации:</w:t>
            </w:r>
          </w:p>
          <w:p>
            <w:pPr>
              <w:spacing w:after="20"/>
              <w:ind w:left="20"/>
              <w:jc w:val="both"/>
            </w:pPr>
            <w:r>
              <w:rPr>
                <w:rFonts w:ascii="Times New Roman"/>
                <w:b w:val="false"/>
                <w:i w:val="false"/>
                <w:color w:val="000000"/>
                <w:sz w:val="20"/>
              </w:rPr>
              <w:t>
19.1. Пригласить на обследование через</w:t>
            </w:r>
          </w:p>
          <w:p>
            <w:pPr>
              <w:spacing w:after="20"/>
              <w:ind w:left="20"/>
              <w:jc w:val="both"/>
            </w:pPr>
            <w:r>
              <w:rPr>
                <w:rFonts w:ascii="Times New Roman"/>
                <w:b w:val="false"/>
                <w:i w:val="false"/>
                <w:color w:val="000000"/>
                <w:sz w:val="20"/>
              </w:rPr>
              <w:t>
2 года</w:t>
            </w:r>
          </w:p>
          <w:p>
            <w:pPr>
              <w:spacing w:after="20"/>
              <w:ind w:left="20"/>
              <w:jc w:val="both"/>
            </w:pPr>
            <w:r>
              <w:rPr>
                <w:rFonts w:ascii="Times New Roman"/>
                <w:b w:val="false"/>
                <w:i w:val="false"/>
                <w:color w:val="000000"/>
                <w:sz w:val="20"/>
              </w:rPr>
              <w:t>
19.2. Пригласить на дообследование</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МАММОГРАФИЯ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(название медучреждения)</w:t>
            </w:r>
          </w:p>
          <w:p>
            <w:pPr>
              <w:spacing w:after="20"/>
              <w:ind w:left="20"/>
              <w:jc w:val="both"/>
            </w:pPr>
            <w:r>
              <w:rPr>
                <w:rFonts w:ascii="Times New Roman"/>
                <w:b w:val="false"/>
                <w:i w:val="false"/>
                <w:color w:val="000000"/>
                <w:sz w:val="20"/>
              </w:rPr>
              <w:t>
ФИО 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Год рождения ______________________</w:t>
            </w:r>
          </w:p>
          <w:p>
            <w:pPr>
              <w:spacing w:after="20"/>
              <w:ind w:left="20"/>
              <w:jc w:val="both"/>
            </w:pPr>
            <w:r>
              <w:rPr>
                <w:rFonts w:ascii="Times New Roman"/>
                <w:b w:val="false"/>
                <w:i w:val="false"/>
                <w:color w:val="000000"/>
                <w:sz w:val="20"/>
              </w:rPr>
              <w:t>
Дата прохождения маммографии:</w:t>
            </w:r>
          </w:p>
          <w:p>
            <w:pPr>
              <w:spacing w:after="20"/>
              <w:ind w:left="20"/>
              <w:jc w:val="both"/>
            </w:pPr>
            <w:r>
              <w:rPr>
                <w:rFonts w:ascii="Times New Roman"/>
                <w:b w:val="false"/>
                <w:i w:val="false"/>
                <w:color w:val="000000"/>
                <w:sz w:val="20"/>
              </w:rPr>
              <w:t>
"______" ___________ 201___ г.</w:t>
            </w:r>
          </w:p>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(BI-RADS):</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Врач, подпись:</w:t>
            </w:r>
          </w:p>
          <w:p>
            <w:pPr>
              <w:spacing w:after="20"/>
              <w:ind w:left="20"/>
              <w:jc w:val="both"/>
            </w:pPr>
            <w:r>
              <w:rPr>
                <w:rFonts w:ascii="Times New Roman"/>
                <w:b w:val="false"/>
                <w:i w:val="false"/>
                <w:color w:val="000000"/>
                <w:sz w:val="20"/>
              </w:rPr>
              <w:t>
М1 – нет изменений</w:t>
            </w:r>
          </w:p>
          <w:p>
            <w:pPr>
              <w:spacing w:after="20"/>
              <w:ind w:left="20"/>
              <w:jc w:val="both"/>
            </w:pPr>
            <w:r>
              <w:rPr>
                <w:rFonts w:ascii="Times New Roman"/>
                <w:b w:val="false"/>
                <w:i w:val="false"/>
                <w:color w:val="000000"/>
                <w:sz w:val="20"/>
              </w:rPr>
              <w:t>
М2 – доброкачественное образование</w:t>
            </w:r>
          </w:p>
          <w:p>
            <w:pPr>
              <w:spacing w:after="20"/>
              <w:ind w:left="20"/>
              <w:jc w:val="both"/>
            </w:pPr>
            <w:r>
              <w:rPr>
                <w:rFonts w:ascii="Times New Roman"/>
                <w:b w:val="false"/>
                <w:i w:val="false"/>
                <w:color w:val="000000"/>
                <w:sz w:val="20"/>
              </w:rPr>
              <w:t>
М3 – больше данных за</w:t>
            </w:r>
          </w:p>
          <w:p>
            <w:pPr>
              <w:spacing w:after="20"/>
              <w:ind w:left="20"/>
              <w:jc w:val="both"/>
            </w:pPr>
            <w:r>
              <w:rPr>
                <w:rFonts w:ascii="Times New Roman"/>
                <w:b w:val="false"/>
                <w:i w:val="false"/>
                <w:color w:val="000000"/>
                <w:sz w:val="20"/>
              </w:rPr>
              <w:t>
доброкачественное образование</w:t>
            </w:r>
          </w:p>
          <w:p>
            <w:pPr>
              <w:spacing w:after="20"/>
              <w:ind w:left="20"/>
              <w:jc w:val="both"/>
            </w:pPr>
            <w:r>
              <w:rPr>
                <w:rFonts w:ascii="Times New Roman"/>
                <w:b w:val="false"/>
                <w:i w:val="false"/>
                <w:color w:val="000000"/>
                <w:sz w:val="20"/>
              </w:rPr>
              <w:t>
М4 – больше данных за</w:t>
            </w:r>
          </w:p>
          <w:p>
            <w:pPr>
              <w:spacing w:after="20"/>
              <w:ind w:left="20"/>
              <w:jc w:val="both"/>
            </w:pPr>
            <w:r>
              <w:rPr>
                <w:rFonts w:ascii="Times New Roman"/>
                <w:b w:val="false"/>
                <w:i w:val="false"/>
                <w:color w:val="000000"/>
                <w:sz w:val="20"/>
              </w:rPr>
              <w:t>
злокачественное образование</w:t>
            </w:r>
          </w:p>
          <w:p>
            <w:pPr>
              <w:spacing w:after="20"/>
              <w:ind w:left="20"/>
              <w:jc w:val="both"/>
            </w:pPr>
            <w:r>
              <w:rPr>
                <w:rFonts w:ascii="Times New Roman"/>
                <w:b w:val="false"/>
                <w:i w:val="false"/>
                <w:color w:val="000000"/>
                <w:sz w:val="20"/>
              </w:rPr>
              <w:t>
М5 – злокачественное новообразование</w:t>
            </w:r>
          </w:p>
          <w:p>
            <w:pPr>
              <w:spacing w:after="20"/>
              <w:ind w:left="20"/>
              <w:jc w:val="both"/>
            </w:pPr>
            <w:r>
              <w:rPr>
                <w:rFonts w:ascii="Times New Roman"/>
                <w:b w:val="false"/>
                <w:i w:val="false"/>
                <w:color w:val="000000"/>
                <w:sz w:val="20"/>
              </w:rPr>
              <w:t>
без верификации</w:t>
            </w:r>
          </w:p>
          <w:p>
            <w:pPr>
              <w:spacing w:after="20"/>
              <w:ind w:left="20"/>
              <w:jc w:val="both"/>
            </w:pPr>
            <w:r>
              <w:rPr>
                <w:rFonts w:ascii="Times New Roman"/>
                <w:b w:val="false"/>
                <w:i w:val="false"/>
                <w:color w:val="000000"/>
                <w:sz w:val="20"/>
              </w:rPr>
              <w:t>
М6 – злокачественное</w:t>
            </w:r>
          </w:p>
          <w:p>
            <w:pPr>
              <w:spacing w:after="20"/>
              <w:ind w:left="20"/>
              <w:jc w:val="both"/>
            </w:pPr>
            <w:r>
              <w:rPr>
                <w:rFonts w:ascii="Times New Roman"/>
                <w:b w:val="false"/>
                <w:i w:val="false"/>
                <w:color w:val="000000"/>
                <w:sz w:val="20"/>
              </w:rPr>
              <w:t>
новообразование, верифицированное</w:t>
            </w:r>
          </w:p>
          <w:p>
            <w:pPr>
              <w:spacing w:after="20"/>
              <w:ind w:left="20"/>
              <w:jc w:val="both"/>
            </w:pPr>
            <w:r>
              <w:rPr>
                <w:rFonts w:ascii="Times New Roman"/>
                <w:b w:val="false"/>
                <w:i w:val="false"/>
                <w:color w:val="000000"/>
                <w:sz w:val="20"/>
              </w:rPr>
              <w:t>
патоморфологически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2011 года № 145</w:t>
            </w:r>
          </w:p>
        </w:tc>
      </w:tr>
    </w:tbl>
    <w:bookmarkStart w:name="z147" w:id="136"/>
    <w:p>
      <w:pPr>
        <w:spacing w:after="0"/>
        <w:ind w:left="0"/>
        <w:jc w:val="left"/>
      </w:pPr>
      <w:r>
        <w:rPr>
          <w:rFonts w:ascii="Times New Roman"/>
          <w:b/>
          <w:i w:val="false"/>
          <w:color w:val="000000"/>
        </w:rPr>
        <w:t xml:space="preserve">  Перечень республиканских организаций здравоохранения,</w:t>
      </w:r>
      <w:r>
        <w:br/>
      </w:r>
      <w:r>
        <w:rPr>
          <w:rFonts w:ascii="Times New Roman"/>
          <w:b/>
          <w:i w:val="false"/>
          <w:color w:val="000000"/>
        </w:rPr>
        <w:t>ответственных за методическое руководство и анализ</w:t>
      </w:r>
      <w:r>
        <w:br/>
      </w:r>
      <w:r>
        <w:rPr>
          <w:rFonts w:ascii="Times New Roman"/>
          <w:b/>
          <w:i w:val="false"/>
          <w:color w:val="000000"/>
        </w:rPr>
        <w:t>скрининговых осмотров целевых групп населения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3594"/>
        <w:gridCol w:w="7095"/>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ответственной</w:t>
            </w:r>
          </w:p>
          <w:p>
            <w:pPr>
              <w:spacing w:after="20"/>
              <w:ind w:left="20"/>
              <w:jc w:val="both"/>
            </w:pPr>
            <w:r>
              <w:rPr>
                <w:rFonts w:ascii="Times New Roman"/>
                <w:b w:val="false"/>
                <w:i w:val="false"/>
                <w:color w:val="000000"/>
                <w:sz w:val="20"/>
              </w:rPr>
              <w:t>
организации*</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 по внедрению профилактических</w:t>
            </w:r>
          </w:p>
          <w:p>
            <w:pPr>
              <w:spacing w:after="20"/>
              <w:ind w:left="20"/>
              <w:jc w:val="both"/>
            </w:pPr>
            <w:r>
              <w:rPr>
                <w:rFonts w:ascii="Times New Roman"/>
                <w:b w:val="false"/>
                <w:i w:val="false"/>
                <w:color w:val="000000"/>
                <w:sz w:val="20"/>
              </w:rPr>
              <w:t>
медицинских (скрининговых) осмотров целевых групп</w:t>
            </w:r>
          </w:p>
          <w:p>
            <w:pPr>
              <w:spacing w:after="20"/>
              <w:ind w:left="20"/>
              <w:jc w:val="both"/>
            </w:pPr>
            <w:r>
              <w:rPr>
                <w:rFonts w:ascii="Times New Roman"/>
                <w:b w:val="false"/>
                <w:i w:val="false"/>
                <w:color w:val="000000"/>
                <w:sz w:val="20"/>
              </w:rPr>
              <w:t>
населения</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(далее – РГП МЗ РК)</w:t>
            </w:r>
          </w:p>
          <w:p>
            <w:pPr>
              <w:spacing w:after="20"/>
              <w:ind w:left="20"/>
              <w:jc w:val="both"/>
            </w:pPr>
            <w:r>
              <w:rPr>
                <w:rFonts w:ascii="Times New Roman"/>
                <w:b w:val="false"/>
                <w:i w:val="false"/>
                <w:color w:val="000000"/>
                <w:sz w:val="20"/>
              </w:rPr>
              <w:t>
"Национальный центр</w:t>
            </w:r>
          </w:p>
          <w:p>
            <w:pPr>
              <w:spacing w:after="20"/>
              <w:ind w:left="20"/>
              <w:jc w:val="both"/>
            </w:pPr>
            <w:r>
              <w:rPr>
                <w:rFonts w:ascii="Times New Roman"/>
                <w:b w:val="false"/>
                <w:i w:val="false"/>
                <w:color w:val="000000"/>
                <w:sz w:val="20"/>
              </w:rPr>
              <w:t>
проблем формирования</w:t>
            </w:r>
          </w:p>
          <w:p>
            <w:pPr>
              <w:spacing w:after="20"/>
              <w:ind w:left="20"/>
              <w:jc w:val="both"/>
            </w:pPr>
            <w:r>
              <w:rPr>
                <w:rFonts w:ascii="Times New Roman"/>
                <w:b w:val="false"/>
                <w:i w:val="false"/>
                <w:color w:val="000000"/>
                <w:sz w:val="20"/>
              </w:rPr>
              <w:t>
здорового образа</w:t>
            </w:r>
          </w:p>
          <w:p>
            <w:pPr>
              <w:spacing w:after="20"/>
              <w:ind w:left="20"/>
              <w:jc w:val="both"/>
            </w:pPr>
            <w:r>
              <w:rPr>
                <w:rFonts w:ascii="Times New Roman"/>
                <w:b w:val="false"/>
                <w:i w:val="false"/>
                <w:color w:val="000000"/>
                <w:sz w:val="20"/>
              </w:rPr>
              <w:t>
жизни" (далее –</w:t>
            </w:r>
          </w:p>
          <w:p>
            <w:pPr>
              <w:spacing w:after="20"/>
              <w:ind w:left="20"/>
              <w:jc w:val="both"/>
            </w:pPr>
            <w:r>
              <w:rPr>
                <w:rFonts w:ascii="Times New Roman"/>
                <w:b w:val="false"/>
                <w:i w:val="false"/>
                <w:color w:val="000000"/>
                <w:sz w:val="20"/>
              </w:rPr>
              <w:t>
НЦПФЗОЖ)</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работы Рабочей группы по</w:t>
            </w:r>
          </w:p>
          <w:p>
            <w:pPr>
              <w:spacing w:after="20"/>
              <w:ind w:left="20"/>
              <w:jc w:val="both"/>
            </w:pPr>
            <w:r>
              <w:rPr>
                <w:rFonts w:ascii="Times New Roman"/>
                <w:b w:val="false"/>
                <w:i w:val="false"/>
                <w:color w:val="000000"/>
                <w:sz w:val="20"/>
              </w:rPr>
              <w:t>
научно-методическому обеспечению скрининговых программ</w:t>
            </w:r>
          </w:p>
          <w:p>
            <w:pPr>
              <w:spacing w:after="20"/>
              <w:ind w:left="20"/>
              <w:jc w:val="both"/>
            </w:pPr>
            <w:r>
              <w:rPr>
                <w:rFonts w:ascii="Times New Roman"/>
                <w:b w:val="false"/>
                <w:i w:val="false"/>
                <w:color w:val="000000"/>
                <w:sz w:val="20"/>
              </w:rPr>
              <w:t>
2. Разработка и совершенствование нормативно-правовой</w:t>
            </w:r>
          </w:p>
          <w:p>
            <w:pPr>
              <w:spacing w:after="20"/>
              <w:ind w:left="20"/>
              <w:jc w:val="both"/>
            </w:pPr>
            <w:r>
              <w:rPr>
                <w:rFonts w:ascii="Times New Roman"/>
                <w:b w:val="false"/>
                <w:i w:val="false"/>
                <w:color w:val="000000"/>
                <w:sz w:val="20"/>
              </w:rPr>
              <w:t>
базы, учетно-отчетных форм</w:t>
            </w:r>
          </w:p>
          <w:p>
            <w:pPr>
              <w:spacing w:after="20"/>
              <w:ind w:left="20"/>
              <w:jc w:val="both"/>
            </w:pPr>
            <w:r>
              <w:rPr>
                <w:rFonts w:ascii="Times New Roman"/>
                <w:b w:val="false"/>
                <w:i w:val="false"/>
                <w:color w:val="000000"/>
                <w:sz w:val="20"/>
              </w:rPr>
              <w:t>
3. Разработка модели проведения скрининговых осмотров в</w:t>
            </w:r>
          </w:p>
          <w:p>
            <w:pPr>
              <w:spacing w:after="20"/>
              <w:ind w:left="20"/>
              <w:jc w:val="both"/>
            </w:pPr>
            <w:r>
              <w:rPr>
                <w:rFonts w:ascii="Times New Roman"/>
                <w:b w:val="false"/>
                <w:i w:val="false"/>
                <w:color w:val="000000"/>
                <w:sz w:val="20"/>
              </w:rPr>
              <w:t>
условиях развития ПМСП</w:t>
            </w:r>
          </w:p>
          <w:p>
            <w:pPr>
              <w:spacing w:after="20"/>
              <w:ind w:left="20"/>
              <w:jc w:val="both"/>
            </w:pPr>
            <w:r>
              <w:rPr>
                <w:rFonts w:ascii="Times New Roman"/>
                <w:b w:val="false"/>
                <w:i w:val="false"/>
                <w:color w:val="000000"/>
                <w:sz w:val="20"/>
              </w:rPr>
              <w:t>
4. Организационно-методическое руководство, координация,</w:t>
            </w:r>
          </w:p>
          <w:p>
            <w:pPr>
              <w:spacing w:after="20"/>
              <w:ind w:left="20"/>
              <w:jc w:val="both"/>
            </w:pPr>
            <w:r>
              <w:rPr>
                <w:rFonts w:ascii="Times New Roman"/>
                <w:b w:val="false"/>
                <w:i w:val="false"/>
                <w:color w:val="000000"/>
                <w:sz w:val="20"/>
              </w:rPr>
              <w:t>
мониторинг, оценка, анализ результатов проведения</w:t>
            </w:r>
          </w:p>
          <w:p>
            <w:pPr>
              <w:spacing w:after="20"/>
              <w:ind w:left="20"/>
              <w:jc w:val="both"/>
            </w:pPr>
            <w:r>
              <w:rPr>
                <w:rFonts w:ascii="Times New Roman"/>
                <w:b w:val="false"/>
                <w:i w:val="false"/>
                <w:color w:val="000000"/>
                <w:sz w:val="20"/>
              </w:rPr>
              <w:t>
профилактических медицинских (скрининговых) осмотров по</w:t>
            </w:r>
          </w:p>
          <w:p>
            <w:pPr>
              <w:spacing w:after="20"/>
              <w:ind w:left="20"/>
              <w:jc w:val="both"/>
            </w:pPr>
            <w:r>
              <w:rPr>
                <w:rFonts w:ascii="Times New Roman"/>
                <w:b w:val="false"/>
                <w:i w:val="false"/>
                <w:color w:val="000000"/>
                <w:sz w:val="20"/>
              </w:rPr>
              <w:t>
выявлению поведенческих факторов риска среди целевых</w:t>
            </w:r>
          </w:p>
          <w:p>
            <w:pPr>
              <w:spacing w:after="20"/>
              <w:ind w:left="20"/>
              <w:jc w:val="both"/>
            </w:pPr>
            <w:r>
              <w:rPr>
                <w:rFonts w:ascii="Times New Roman"/>
                <w:b w:val="false"/>
                <w:i w:val="false"/>
                <w:color w:val="000000"/>
                <w:sz w:val="20"/>
              </w:rPr>
              <w:t>
групп населения.</w:t>
            </w:r>
          </w:p>
          <w:p>
            <w:pPr>
              <w:spacing w:after="20"/>
              <w:ind w:left="20"/>
              <w:jc w:val="both"/>
            </w:pPr>
            <w:r>
              <w:rPr>
                <w:rFonts w:ascii="Times New Roman"/>
                <w:b w:val="false"/>
                <w:i w:val="false"/>
                <w:color w:val="000000"/>
                <w:sz w:val="20"/>
              </w:rPr>
              <w:t>
5. Методическая помощь региональным центрам формирования</w:t>
            </w:r>
          </w:p>
          <w:p>
            <w:pPr>
              <w:spacing w:after="20"/>
              <w:ind w:left="20"/>
              <w:jc w:val="both"/>
            </w:pPr>
            <w:r>
              <w:rPr>
                <w:rFonts w:ascii="Times New Roman"/>
                <w:b w:val="false"/>
                <w:i w:val="false"/>
                <w:color w:val="000000"/>
                <w:sz w:val="20"/>
              </w:rPr>
              <w:t>
здорового образа жизни в проведении анализа результатов</w:t>
            </w:r>
          </w:p>
          <w:p>
            <w:pPr>
              <w:spacing w:after="20"/>
              <w:ind w:left="20"/>
              <w:jc w:val="both"/>
            </w:pPr>
            <w:r>
              <w:rPr>
                <w:rFonts w:ascii="Times New Roman"/>
                <w:b w:val="false"/>
                <w:i w:val="false"/>
                <w:color w:val="000000"/>
                <w:sz w:val="20"/>
              </w:rPr>
              <w:t>
проведения профилактических медицинских (скрининговых)</w:t>
            </w:r>
          </w:p>
          <w:p>
            <w:pPr>
              <w:spacing w:after="20"/>
              <w:ind w:left="20"/>
              <w:jc w:val="both"/>
            </w:pPr>
            <w:r>
              <w:rPr>
                <w:rFonts w:ascii="Times New Roman"/>
                <w:b w:val="false"/>
                <w:i w:val="false"/>
                <w:color w:val="000000"/>
                <w:sz w:val="20"/>
              </w:rPr>
              <w:t>
осмотров.</w:t>
            </w:r>
          </w:p>
          <w:p>
            <w:pPr>
              <w:spacing w:after="20"/>
              <w:ind w:left="20"/>
              <w:jc w:val="both"/>
            </w:pPr>
            <w:r>
              <w:rPr>
                <w:rFonts w:ascii="Times New Roman"/>
                <w:b w:val="false"/>
                <w:i w:val="false"/>
                <w:color w:val="000000"/>
                <w:sz w:val="20"/>
              </w:rPr>
              <w:t>
6. Свод и ежеквартальное предоставление аналитических</w:t>
            </w:r>
          </w:p>
          <w:p>
            <w:pPr>
              <w:spacing w:after="20"/>
              <w:ind w:left="20"/>
              <w:jc w:val="both"/>
            </w:pPr>
            <w:r>
              <w:rPr>
                <w:rFonts w:ascii="Times New Roman"/>
                <w:b w:val="false"/>
                <w:i w:val="false"/>
                <w:color w:val="000000"/>
                <w:sz w:val="20"/>
              </w:rPr>
              <w:t>
отчетов по проведению профилактических медицинских</w:t>
            </w:r>
          </w:p>
          <w:p>
            <w:pPr>
              <w:spacing w:after="20"/>
              <w:ind w:left="20"/>
              <w:jc w:val="both"/>
            </w:pPr>
            <w:r>
              <w:rPr>
                <w:rFonts w:ascii="Times New Roman"/>
                <w:b w:val="false"/>
                <w:i w:val="false"/>
                <w:color w:val="000000"/>
                <w:sz w:val="20"/>
              </w:rPr>
              <w:t>
(скрининговых) осмотров в Министерство здравоохранения</w:t>
            </w:r>
          </w:p>
          <w:p>
            <w:pPr>
              <w:spacing w:after="20"/>
              <w:ind w:left="20"/>
              <w:jc w:val="both"/>
            </w:pPr>
            <w:r>
              <w:rPr>
                <w:rFonts w:ascii="Times New Roman"/>
                <w:b w:val="false"/>
                <w:i w:val="false"/>
                <w:color w:val="000000"/>
                <w:sz w:val="20"/>
              </w:rPr>
              <w:t>
Республики Казахстан (далее – МЗ РК) к 20 числу месяца,</w:t>
            </w:r>
          </w:p>
          <w:p>
            <w:pPr>
              <w:spacing w:after="20"/>
              <w:ind w:left="20"/>
              <w:jc w:val="both"/>
            </w:pPr>
            <w:r>
              <w:rPr>
                <w:rFonts w:ascii="Times New Roman"/>
                <w:b w:val="false"/>
                <w:i w:val="false"/>
                <w:color w:val="000000"/>
                <w:sz w:val="20"/>
              </w:rPr>
              <w:t>
следующего за отчетным.</w:t>
            </w:r>
          </w:p>
          <w:p>
            <w:pPr>
              <w:spacing w:after="20"/>
              <w:ind w:left="20"/>
              <w:jc w:val="both"/>
            </w:pPr>
            <w:r>
              <w:rPr>
                <w:rFonts w:ascii="Times New Roman"/>
                <w:b w:val="false"/>
                <w:i w:val="false"/>
                <w:color w:val="000000"/>
                <w:sz w:val="20"/>
              </w:rPr>
              <w:t>
7. Свод и предоставление в МЗ РК ежегодного</w:t>
            </w:r>
          </w:p>
          <w:p>
            <w:pPr>
              <w:spacing w:after="20"/>
              <w:ind w:left="20"/>
              <w:jc w:val="both"/>
            </w:pPr>
            <w:r>
              <w:rPr>
                <w:rFonts w:ascii="Times New Roman"/>
                <w:b w:val="false"/>
                <w:i w:val="false"/>
                <w:color w:val="000000"/>
                <w:sz w:val="20"/>
              </w:rPr>
              <w:t>
заключительного аналитического отчета по проведению</w:t>
            </w:r>
          </w:p>
          <w:p>
            <w:pPr>
              <w:spacing w:after="20"/>
              <w:ind w:left="20"/>
              <w:jc w:val="both"/>
            </w:pPr>
            <w:r>
              <w:rPr>
                <w:rFonts w:ascii="Times New Roman"/>
                <w:b w:val="false"/>
                <w:i w:val="false"/>
                <w:color w:val="000000"/>
                <w:sz w:val="20"/>
              </w:rPr>
              <w:t>
профилактических медицинских (скрининговых) осмотров к 1</w:t>
            </w:r>
          </w:p>
          <w:p>
            <w:pPr>
              <w:spacing w:after="20"/>
              <w:ind w:left="20"/>
              <w:jc w:val="both"/>
            </w:pPr>
            <w:r>
              <w:rPr>
                <w:rFonts w:ascii="Times New Roman"/>
                <w:b w:val="false"/>
                <w:i w:val="false"/>
                <w:color w:val="000000"/>
                <w:sz w:val="20"/>
              </w:rPr>
              <w:t>
февраля следующего за отчетным периодом года.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МЗ РК</w:t>
            </w:r>
          </w:p>
          <w:p>
            <w:pPr>
              <w:spacing w:after="20"/>
              <w:ind w:left="20"/>
              <w:jc w:val="both"/>
            </w:pPr>
            <w:r>
              <w:rPr>
                <w:rFonts w:ascii="Times New Roman"/>
                <w:b w:val="false"/>
                <w:i w:val="false"/>
                <w:color w:val="000000"/>
                <w:sz w:val="20"/>
              </w:rPr>
              <w:t>
"Научно-исследова-</w:t>
            </w:r>
          </w:p>
          <w:p>
            <w:pPr>
              <w:spacing w:after="20"/>
              <w:ind w:left="20"/>
              <w:jc w:val="both"/>
            </w:pPr>
            <w:r>
              <w:rPr>
                <w:rFonts w:ascii="Times New Roman"/>
                <w:b w:val="false"/>
                <w:i w:val="false"/>
                <w:color w:val="000000"/>
                <w:sz w:val="20"/>
              </w:rPr>
              <w:t>
тельский институт</w:t>
            </w:r>
          </w:p>
          <w:p>
            <w:pPr>
              <w:spacing w:after="20"/>
              <w:ind w:left="20"/>
              <w:jc w:val="both"/>
            </w:pPr>
            <w:r>
              <w:rPr>
                <w:rFonts w:ascii="Times New Roman"/>
                <w:b w:val="false"/>
                <w:i w:val="false"/>
                <w:color w:val="000000"/>
                <w:sz w:val="20"/>
              </w:rPr>
              <w:t>
кардиологии и</w:t>
            </w:r>
          </w:p>
          <w:p>
            <w:pPr>
              <w:spacing w:after="20"/>
              <w:ind w:left="20"/>
              <w:jc w:val="both"/>
            </w:pPr>
            <w:r>
              <w:rPr>
                <w:rFonts w:ascii="Times New Roman"/>
                <w:b w:val="false"/>
                <w:i w:val="false"/>
                <w:color w:val="000000"/>
                <w:sz w:val="20"/>
              </w:rPr>
              <w:t>
внутренних болезней"</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w:t>
            </w:r>
          </w:p>
          <w:p>
            <w:pPr>
              <w:spacing w:after="20"/>
              <w:ind w:left="20"/>
              <w:jc w:val="both"/>
            </w:pPr>
            <w:r>
              <w:rPr>
                <w:rFonts w:ascii="Times New Roman"/>
                <w:b w:val="false"/>
                <w:i w:val="false"/>
                <w:color w:val="000000"/>
                <w:sz w:val="20"/>
              </w:rPr>
              <w:t>
обеспечению скрининговых программ</w:t>
            </w:r>
          </w:p>
          <w:p>
            <w:pPr>
              <w:spacing w:after="20"/>
              <w:ind w:left="20"/>
              <w:jc w:val="both"/>
            </w:pPr>
            <w:r>
              <w:rPr>
                <w:rFonts w:ascii="Times New Roman"/>
                <w:b w:val="false"/>
                <w:i w:val="false"/>
                <w:color w:val="000000"/>
                <w:sz w:val="20"/>
              </w:rPr>
              <w:t>
2. Организационно-методическое руководство, координация,</w:t>
            </w:r>
          </w:p>
          <w:p>
            <w:pPr>
              <w:spacing w:after="20"/>
              <w:ind w:left="20"/>
              <w:jc w:val="both"/>
            </w:pPr>
            <w:r>
              <w:rPr>
                <w:rFonts w:ascii="Times New Roman"/>
                <w:b w:val="false"/>
                <w:i w:val="false"/>
                <w:color w:val="000000"/>
                <w:sz w:val="20"/>
              </w:rPr>
              <w:t>
мониторинг, оценка, практическая помощь в проведении</w:t>
            </w:r>
          </w:p>
          <w:p>
            <w:pPr>
              <w:spacing w:after="20"/>
              <w:ind w:left="20"/>
              <w:jc w:val="both"/>
            </w:pPr>
            <w:r>
              <w:rPr>
                <w:rFonts w:ascii="Times New Roman"/>
                <w:b w:val="false"/>
                <w:i w:val="false"/>
                <w:color w:val="000000"/>
                <w:sz w:val="20"/>
              </w:rPr>
              <w:t>
профилактических медицинских (скрининговых) осмотров по</w:t>
            </w:r>
          </w:p>
          <w:p>
            <w:pPr>
              <w:spacing w:after="20"/>
              <w:ind w:left="20"/>
              <w:jc w:val="both"/>
            </w:pPr>
            <w:r>
              <w:rPr>
                <w:rFonts w:ascii="Times New Roman"/>
                <w:b w:val="false"/>
                <w:i w:val="false"/>
                <w:color w:val="000000"/>
                <w:sz w:val="20"/>
              </w:rPr>
              <w:t>
раннему выявлению основных болезней системы</w:t>
            </w:r>
          </w:p>
          <w:p>
            <w:pPr>
              <w:spacing w:after="20"/>
              <w:ind w:left="20"/>
              <w:jc w:val="both"/>
            </w:pPr>
            <w:r>
              <w:rPr>
                <w:rFonts w:ascii="Times New Roman"/>
                <w:b w:val="false"/>
                <w:i w:val="false"/>
                <w:color w:val="000000"/>
                <w:sz w:val="20"/>
              </w:rPr>
              <w:t>
кровообращения (артериальной гипертонии, ишемической</w:t>
            </w:r>
          </w:p>
          <w:p>
            <w:pPr>
              <w:spacing w:after="20"/>
              <w:ind w:left="20"/>
              <w:jc w:val="both"/>
            </w:pPr>
            <w:r>
              <w:rPr>
                <w:rFonts w:ascii="Times New Roman"/>
                <w:b w:val="false"/>
                <w:i w:val="false"/>
                <w:color w:val="000000"/>
                <w:sz w:val="20"/>
              </w:rPr>
              <w:t>
болезни сердца), сахарного диабета среди отдельных</w:t>
            </w:r>
          </w:p>
          <w:p>
            <w:pPr>
              <w:spacing w:after="20"/>
              <w:ind w:left="20"/>
              <w:jc w:val="both"/>
            </w:pPr>
            <w:r>
              <w:rPr>
                <w:rFonts w:ascii="Times New Roman"/>
                <w:b w:val="false"/>
                <w:i w:val="false"/>
                <w:color w:val="000000"/>
                <w:sz w:val="20"/>
              </w:rPr>
              <w:t>
целевых групп населения.</w:t>
            </w:r>
          </w:p>
          <w:p>
            <w:pPr>
              <w:spacing w:after="20"/>
              <w:ind w:left="20"/>
              <w:jc w:val="both"/>
            </w:pPr>
            <w:r>
              <w:rPr>
                <w:rFonts w:ascii="Times New Roman"/>
                <w:b w:val="false"/>
                <w:i w:val="false"/>
                <w:color w:val="000000"/>
                <w:sz w:val="20"/>
              </w:rPr>
              <w:t>
3. Анализ результатов профилактических медицинских</w:t>
            </w:r>
          </w:p>
          <w:p>
            <w:pPr>
              <w:spacing w:after="20"/>
              <w:ind w:left="20"/>
              <w:jc w:val="both"/>
            </w:pPr>
            <w:r>
              <w:rPr>
                <w:rFonts w:ascii="Times New Roman"/>
                <w:b w:val="false"/>
                <w:i w:val="false"/>
                <w:color w:val="000000"/>
                <w:sz w:val="20"/>
              </w:rPr>
              <w:t>
(скрининговых) осмотров, предоставление аналитического</w:t>
            </w:r>
          </w:p>
          <w:p>
            <w:pPr>
              <w:spacing w:after="20"/>
              <w:ind w:left="20"/>
              <w:jc w:val="both"/>
            </w:pPr>
            <w:r>
              <w:rPr>
                <w:rFonts w:ascii="Times New Roman"/>
                <w:b w:val="false"/>
                <w:i w:val="false"/>
                <w:color w:val="000000"/>
                <w:sz w:val="20"/>
              </w:rPr>
              <w:t>
отчета в НЦПФЗОЖ – ежеквартально к 15 числу месяца,</w:t>
            </w:r>
          </w:p>
          <w:p>
            <w:pPr>
              <w:spacing w:after="20"/>
              <w:ind w:left="20"/>
              <w:jc w:val="both"/>
            </w:pPr>
            <w:r>
              <w:rPr>
                <w:rFonts w:ascii="Times New Roman"/>
                <w:b w:val="false"/>
                <w:i w:val="false"/>
                <w:color w:val="000000"/>
                <w:sz w:val="20"/>
              </w:rPr>
              <w:t>
следующего за отчетным.</w:t>
            </w:r>
          </w:p>
          <w:p>
            <w:pPr>
              <w:spacing w:after="20"/>
              <w:ind w:left="20"/>
              <w:jc w:val="both"/>
            </w:pPr>
            <w:r>
              <w:rPr>
                <w:rFonts w:ascii="Times New Roman"/>
                <w:b w:val="false"/>
                <w:i w:val="false"/>
                <w:color w:val="000000"/>
                <w:sz w:val="20"/>
              </w:rPr>
              <w:t>
4. Предоставление в НЦПФЗОЖ ежегодного заключительного</w:t>
            </w:r>
          </w:p>
          <w:p>
            <w:pPr>
              <w:spacing w:after="20"/>
              <w:ind w:left="20"/>
              <w:jc w:val="both"/>
            </w:pPr>
            <w:r>
              <w:rPr>
                <w:rFonts w:ascii="Times New Roman"/>
                <w:b w:val="false"/>
                <w:i w:val="false"/>
                <w:color w:val="000000"/>
                <w:sz w:val="20"/>
              </w:rPr>
              <w:t>
аналитического отчета по проведению профилактических</w:t>
            </w:r>
          </w:p>
          <w:p>
            <w:pPr>
              <w:spacing w:after="20"/>
              <w:ind w:left="20"/>
              <w:jc w:val="both"/>
            </w:pPr>
            <w:r>
              <w:rPr>
                <w:rFonts w:ascii="Times New Roman"/>
                <w:b w:val="false"/>
                <w:i w:val="false"/>
                <w:color w:val="000000"/>
                <w:sz w:val="20"/>
              </w:rPr>
              <w:t>
медицинских (скрининговых) осмотров к 20 января</w:t>
            </w:r>
          </w:p>
          <w:p>
            <w:pPr>
              <w:spacing w:after="20"/>
              <w:ind w:left="20"/>
              <w:jc w:val="both"/>
            </w:pPr>
            <w:r>
              <w:rPr>
                <w:rFonts w:ascii="Times New Roman"/>
                <w:b w:val="false"/>
                <w:i w:val="false"/>
                <w:color w:val="000000"/>
                <w:sz w:val="20"/>
              </w:rPr>
              <w:t>
следующего за отчетным периодом года.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МЗ РК "Казахский</w:t>
            </w:r>
          </w:p>
          <w:p>
            <w:pPr>
              <w:spacing w:after="20"/>
              <w:ind w:left="20"/>
              <w:jc w:val="both"/>
            </w:pPr>
            <w:r>
              <w:rPr>
                <w:rFonts w:ascii="Times New Roman"/>
                <w:b w:val="false"/>
                <w:i w:val="false"/>
                <w:color w:val="000000"/>
                <w:sz w:val="20"/>
              </w:rPr>
              <w:t>
научно-исследова-</w:t>
            </w:r>
          </w:p>
          <w:p>
            <w:pPr>
              <w:spacing w:after="20"/>
              <w:ind w:left="20"/>
              <w:jc w:val="both"/>
            </w:pPr>
            <w:r>
              <w:rPr>
                <w:rFonts w:ascii="Times New Roman"/>
                <w:b w:val="false"/>
                <w:i w:val="false"/>
                <w:color w:val="000000"/>
                <w:sz w:val="20"/>
              </w:rPr>
              <w:t>
тельский институт</w:t>
            </w:r>
          </w:p>
          <w:p>
            <w:pPr>
              <w:spacing w:after="20"/>
              <w:ind w:left="20"/>
              <w:jc w:val="both"/>
            </w:pPr>
            <w:r>
              <w:rPr>
                <w:rFonts w:ascii="Times New Roman"/>
                <w:b w:val="false"/>
                <w:i w:val="false"/>
                <w:color w:val="000000"/>
                <w:sz w:val="20"/>
              </w:rPr>
              <w:t>
онкологии и</w:t>
            </w:r>
          </w:p>
          <w:p>
            <w:pPr>
              <w:spacing w:after="20"/>
              <w:ind w:left="20"/>
              <w:jc w:val="both"/>
            </w:pPr>
            <w:r>
              <w:rPr>
                <w:rFonts w:ascii="Times New Roman"/>
                <w:b w:val="false"/>
                <w:i w:val="false"/>
                <w:color w:val="000000"/>
                <w:sz w:val="20"/>
              </w:rPr>
              <w:t>
радиологии"</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w:t>
            </w:r>
          </w:p>
          <w:p>
            <w:pPr>
              <w:spacing w:after="20"/>
              <w:ind w:left="20"/>
              <w:jc w:val="both"/>
            </w:pPr>
            <w:r>
              <w:rPr>
                <w:rFonts w:ascii="Times New Roman"/>
                <w:b w:val="false"/>
                <w:i w:val="false"/>
                <w:color w:val="000000"/>
                <w:sz w:val="20"/>
              </w:rPr>
              <w:t>
обеспечению скрининговых программ</w:t>
            </w:r>
          </w:p>
          <w:p>
            <w:pPr>
              <w:spacing w:after="20"/>
              <w:ind w:left="20"/>
              <w:jc w:val="both"/>
            </w:pPr>
            <w:r>
              <w:rPr>
                <w:rFonts w:ascii="Times New Roman"/>
                <w:b w:val="false"/>
                <w:i w:val="false"/>
                <w:color w:val="000000"/>
                <w:sz w:val="20"/>
              </w:rPr>
              <w:t>
2. Организационно-методическое руководство, координация,</w:t>
            </w:r>
          </w:p>
          <w:p>
            <w:pPr>
              <w:spacing w:after="20"/>
              <w:ind w:left="20"/>
              <w:jc w:val="both"/>
            </w:pPr>
            <w:r>
              <w:rPr>
                <w:rFonts w:ascii="Times New Roman"/>
                <w:b w:val="false"/>
                <w:i w:val="false"/>
                <w:color w:val="000000"/>
                <w:sz w:val="20"/>
              </w:rPr>
              <w:t>
мониторинг, оценка, практическая помощь в проведении</w:t>
            </w:r>
          </w:p>
          <w:p>
            <w:pPr>
              <w:spacing w:after="20"/>
              <w:ind w:left="20"/>
              <w:jc w:val="both"/>
            </w:pPr>
            <w:r>
              <w:rPr>
                <w:rFonts w:ascii="Times New Roman"/>
                <w:b w:val="false"/>
                <w:i w:val="false"/>
                <w:color w:val="000000"/>
                <w:sz w:val="20"/>
              </w:rPr>
              <w:t>
профилактических медицинских (скрининговых) осмотров по</w:t>
            </w:r>
          </w:p>
          <w:p>
            <w:pPr>
              <w:spacing w:after="20"/>
              <w:ind w:left="20"/>
              <w:jc w:val="both"/>
            </w:pPr>
            <w:r>
              <w:rPr>
                <w:rFonts w:ascii="Times New Roman"/>
                <w:b w:val="false"/>
                <w:i w:val="false"/>
                <w:color w:val="000000"/>
                <w:sz w:val="20"/>
              </w:rPr>
              <w:t>
раннему выявлению предопухолевых и злокачественных</w:t>
            </w:r>
          </w:p>
          <w:p>
            <w:pPr>
              <w:spacing w:after="20"/>
              <w:ind w:left="20"/>
              <w:jc w:val="both"/>
            </w:pPr>
            <w:r>
              <w:rPr>
                <w:rFonts w:ascii="Times New Roman"/>
                <w:b w:val="false"/>
                <w:i w:val="false"/>
                <w:color w:val="000000"/>
                <w:sz w:val="20"/>
              </w:rPr>
              <w:t>
новообразований шейки матки, молочной железы, толстой и</w:t>
            </w:r>
          </w:p>
          <w:p>
            <w:pPr>
              <w:spacing w:after="20"/>
              <w:ind w:left="20"/>
              <w:jc w:val="both"/>
            </w:pPr>
            <w:r>
              <w:rPr>
                <w:rFonts w:ascii="Times New Roman"/>
                <w:b w:val="false"/>
                <w:i w:val="false"/>
                <w:color w:val="000000"/>
                <w:sz w:val="20"/>
              </w:rPr>
              <w:t>
прямой кишки среди отдельных целевых групп населения.</w:t>
            </w:r>
          </w:p>
          <w:p>
            <w:pPr>
              <w:spacing w:after="20"/>
              <w:ind w:left="20"/>
              <w:jc w:val="both"/>
            </w:pPr>
            <w:r>
              <w:rPr>
                <w:rFonts w:ascii="Times New Roman"/>
                <w:b w:val="false"/>
                <w:i w:val="false"/>
                <w:color w:val="000000"/>
                <w:sz w:val="20"/>
              </w:rPr>
              <w:t>
3. Анализ результатов профилактических медицинских</w:t>
            </w:r>
          </w:p>
          <w:p>
            <w:pPr>
              <w:spacing w:after="20"/>
              <w:ind w:left="20"/>
              <w:jc w:val="both"/>
            </w:pPr>
            <w:r>
              <w:rPr>
                <w:rFonts w:ascii="Times New Roman"/>
                <w:b w:val="false"/>
                <w:i w:val="false"/>
                <w:color w:val="000000"/>
                <w:sz w:val="20"/>
              </w:rPr>
              <w:t>
(скрининговых) осмотров, предоставление аналитического</w:t>
            </w:r>
          </w:p>
          <w:p>
            <w:pPr>
              <w:spacing w:after="20"/>
              <w:ind w:left="20"/>
              <w:jc w:val="both"/>
            </w:pPr>
            <w:r>
              <w:rPr>
                <w:rFonts w:ascii="Times New Roman"/>
                <w:b w:val="false"/>
                <w:i w:val="false"/>
                <w:color w:val="000000"/>
                <w:sz w:val="20"/>
              </w:rPr>
              <w:t>
отчета в НЦПФЗОЖ – ежеквартально к 15 числу месяца,</w:t>
            </w:r>
          </w:p>
          <w:p>
            <w:pPr>
              <w:spacing w:after="20"/>
              <w:ind w:left="20"/>
              <w:jc w:val="both"/>
            </w:pPr>
            <w:r>
              <w:rPr>
                <w:rFonts w:ascii="Times New Roman"/>
                <w:b w:val="false"/>
                <w:i w:val="false"/>
                <w:color w:val="000000"/>
                <w:sz w:val="20"/>
              </w:rPr>
              <w:t>
следующего за отчетным.</w:t>
            </w:r>
          </w:p>
          <w:p>
            <w:pPr>
              <w:spacing w:after="20"/>
              <w:ind w:left="20"/>
              <w:jc w:val="both"/>
            </w:pPr>
            <w:r>
              <w:rPr>
                <w:rFonts w:ascii="Times New Roman"/>
                <w:b w:val="false"/>
                <w:i w:val="false"/>
                <w:color w:val="000000"/>
                <w:sz w:val="20"/>
              </w:rPr>
              <w:t>
4. Предоставление в НЦПФЗОЖ ежегодного заключительного</w:t>
            </w:r>
          </w:p>
          <w:p>
            <w:pPr>
              <w:spacing w:after="20"/>
              <w:ind w:left="20"/>
              <w:jc w:val="both"/>
            </w:pPr>
            <w:r>
              <w:rPr>
                <w:rFonts w:ascii="Times New Roman"/>
                <w:b w:val="false"/>
                <w:i w:val="false"/>
                <w:color w:val="000000"/>
                <w:sz w:val="20"/>
              </w:rPr>
              <w:t>
аналитического отчета по проведению профилактических</w:t>
            </w:r>
          </w:p>
          <w:p>
            <w:pPr>
              <w:spacing w:after="20"/>
              <w:ind w:left="20"/>
              <w:jc w:val="both"/>
            </w:pPr>
            <w:r>
              <w:rPr>
                <w:rFonts w:ascii="Times New Roman"/>
                <w:b w:val="false"/>
                <w:i w:val="false"/>
                <w:color w:val="000000"/>
                <w:sz w:val="20"/>
              </w:rPr>
              <w:t>
медицинских (скрининговых) осмотров к 20 января</w:t>
            </w:r>
          </w:p>
          <w:p>
            <w:pPr>
              <w:spacing w:after="20"/>
              <w:ind w:left="20"/>
              <w:jc w:val="both"/>
            </w:pPr>
            <w:r>
              <w:rPr>
                <w:rFonts w:ascii="Times New Roman"/>
                <w:b w:val="false"/>
                <w:i w:val="false"/>
                <w:color w:val="000000"/>
                <w:sz w:val="20"/>
              </w:rPr>
              <w:t>
следующего за отчетным периодом года.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p>
            <w:pPr>
              <w:spacing w:after="20"/>
              <w:ind w:left="20"/>
              <w:jc w:val="both"/>
            </w:pPr>
            <w:r>
              <w:rPr>
                <w:rFonts w:ascii="Times New Roman"/>
                <w:b w:val="false"/>
                <w:i w:val="false"/>
                <w:color w:val="000000"/>
                <w:sz w:val="20"/>
              </w:rPr>
              <w:t>
(далее – АО)</w:t>
            </w:r>
          </w:p>
          <w:p>
            <w:pPr>
              <w:spacing w:after="20"/>
              <w:ind w:left="20"/>
              <w:jc w:val="both"/>
            </w:pPr>
            <w:r>
              <w:rPr>
                <w:rFonts w:ascii="Times New Roman"/>
                <w:b w:val="false"/>
                <w:i w:val="false"/>
                <w:color w:val="000000"/>
                <w:sz w:val="20"/>
              </w:rPr>
              <w:t>
"Национальный научный</w:t>
            </w:r>
          </w:p>
          <w:p>
            <w:pPr>
              <w:spacing w:after="20"/>
              <w:ind w:left="20"/>
              <w:jc w:val="both"/>
            </w:pPr>
            <w:r>
              <w:rPr>
                <w:rFonts w:ascii="Times New Roman"/>
                <w:b w:val="false"/>
                <w:i w:val="false"/>
                <w:color w:val="000000"/>
                <w:sz w:val="20"/>
              </w:rPr>
              <w:t>
центр материнства и</w:t>
            </w:r>
          </w:p>
          <w:p>
            <w:pPr>
              <w:spacing w:after="20"/>
              <w:ind w:left="20"/>
              <w:jc w:val="both"/>
            </w:pPr>
            <w:r>
              <w:rPr>
                <w:rFonts w:ascii="Times New Roman"/>
                <w:b w:val="false"/>
                <w:i w:val="false"/>
                <w:color w:val="000000"/>
                <w:sz w:val="20"/>
              </w:rPr>
              <w:t>
детства" и РГП МЗ РК</w:t>
            </w:r>
          </w:p>
          <w:p>
            <w:pPr>
              <w:spacing w:after="20"/>
              <w:ind w:left="20"/>
              <w:jc w:val="both"/>
            </w:pPr>
            <w:r>
              <w:rPr>
                <w:rFonts w:ascii="Times New Roman"/>
                <w:b w:val="false"/>
                <w:i w:val="false"/>
                <w:color w:val="000000"/>
                <w:sz w:val="20"/>
              </w:rPr>
              <w:t>
"Научный центр</w:t>
            </w:r>
          </w:p>
          <w:p>
            <w:pPr>
              <w:spacing w:after="20"/>
              <w:ind w:left="20"/>
              <w:jc w:val="both"/>
            </w:pPr>
            <w:r>
              <w:rPr>
                <w:rFonts w:ascii="Times New Roman"/>
                <w:b w:val="false"/>
                <w:i w:val="false"/>
                <w:color w:val="000000"/>
                <w:sz w:val="20"/>
              </w:rPr>
              <w:t>
акушерства,</w:t>
            </w:r>
          </w:p>
          <w:p>
            <w:pPr>
              <w:spacing w:after="20"/>
              <w:ind w:left="20"/>
              <w:jc w:val="both"/>
            </w:pPr>
            <w:r>
              <w:rPr>
                <w:rFonts w:ascii="Times New Roman"/>
                <w:b w:val="false"/>
                <w:i w:val="false"/>
                <w:color w:val="000000"/>
                <w:sz w:val="20"/>
              </w:rPr>
              <w:t>
гинекологии и</w:t>
            </w:r>
          </w:p>
          <w:p>
            <w:pPr>
              <w:spacing w:after="20"/>
              <w:ind w:left="20"/>
              <w:jc w:val="both"/>
            </w:pPr>
            <w:r>
              <w:rPr>
                <w:rFonts w:ascii="Times New Roman"/>
                <w:b w:val="false"/>
                <w:i w:val="false"/>
                <w:color w:val="000000"/>
                <w:sz w:val="20"/>
              </w:rPr>
              <w:t>
перинатологии"</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w:t>
            </w:r>
          </w:p>
          <w:p>
            <w:pPr>
              <w:spacing w:after="20"/>
              <w:ind w:left="20"/>
              <w:jc w:val="both"/>
            </w:pPr>
            <w:r>
              <w:rPr>
                <w:rFonts w:ascii="Times New Roman"/>
                <w:b w:val="false"/>
                <w:i w:val="false"/>
                <w:color w:val="000000"/>
                <w:sz w:val="20"/>
              </w:rPr>
              <w:t>
обеспечению скрининговых программ</w:t>
            </w:r>
          </w:p>
          <w:p>
            <w:pPr>
              <w:spacing w:after="20"/>
              <w:ind w:left="20"/>
              <w:jc w:val="both"/>
            </w:pPr>
            <w:r>
              <w:rPr>
                <w:rFonts w:ascii="Times New Roman"/>
                <w:b w:val="false"/>
                <w:i w:val="false"/>
                <w:color w:val="000000"/>
                <w:sz w:val="20"/>
              </w:rPr>
              <w:t>
2. Организационно-методическое руководство, координация,</w:t>
            </w:r>
          </w:p>
          <w:p>
            <w:pPr>
              <w:spacing w:after="20"/>
              <w:ind w:left="20"/>
              <w:jc w:val="both"/>
            </w:pPr>
            <w:r>
              <w:rPr>
                <w:rFonts w:ascii="Times New Roman"/>
                <w:b w:val="false"/>
                <w:i w:val="false"/>
                <w:color w:val="000000"/>
                <w:sz w:val="20"/>
              </w:rPr>
              <w:t>
мониторинг, оценка, практическая помощь в проведении</w:t>
            </w:r>
          </w:p>
          <w:p>
            <w:pPr>
              <w:spacing w:after="20"/>
              <w:ind w:left="20"/>
              <w:jc w:val="both"/>
            </w:pPr>
            <w:r>
              <w:rPr>
                <w:rFonts w:ascii="Times New Roman"/>
                <w:b w:val="false"/>
                <w:i w:val="false"/>
                <w:color w:val="000000"/>
                <w:sz w:val="20"/>
              </w:rPr>
              <w:t>
профилактических медицинских (скрининговых) осмотров по</w:t>
            </w:r>
          </w:p>
          <w:p>
            <w:pPr>
              <w:spacing w:after="20"/>
              <w:ind w:left="20"/>
              <w:jc w:val="both"/>
            </w:pPr>
            <w:r>
              <w:rPr>
                <w:rFonts w:ascii="Times New Roman"/>
                <w:b w:val="false"/>
                <w:i w:val="false"/>
                <w:color w:val="000000"/>
                <w:sz w:val="20"/>
              </w:rPr>
              <w:t>
раннему выявлению предопухолевых заболеваний шейки матки</w:t>
            </w:r>
          </w:p>
          <w:p>
            <w:pPr>
              <w:spacing w:after="20"/>
              <w:ind w:left="20"/>
              <w:jc w:val="both"/>
            </w:pPr>
            <w:r>
              <w:rPr>
                <w:rFonts w:ascii="Times New Roman"/>
                <w:b w:val="false"/>
                <w:i w:val="false"/>
                <w:color w:val="000000"/>
                <w:sz w:val="20"/>
              </w:rPr>
              <w:t>
среди отдельных целевых групп населения.</w:t>
            </w:r>
          </w:p>
          <w:p>
            <w:pPr>
              <w:spacing w:after="20"/>
              <w:ind w:left="20"/>
              <w:jc w:val="both"/>
            </w:pPr>
            <w:r>
              <w:rPr>
                <w:rFonts w:ascii="Times New Roman"/>
                <w:b w:val="false"/>
                <w:i w:val="false"/>
                <w:color w:val="000000"/>
                <w:sz w:val="20"/>
              </w:rPr>
              <w:t>
5. Анализ результатов профилактических медицинских</w:t>
            </w:r>
          </w:p>
          <w:p>
            <w:pPr>
              <w:spacing w:after="20"/>
              <w:ind w:left="20"/>
              <w:jc w:val="both"/>
            </w:pPr>
            <w:r>
              <w:rPr>
                <w:rFonts w:ascii="Times New Roman"/>
                <w:b w:val="false"/>
                <w:i w:val="false"/>
                <w:color w:val="000000"/>
                <w:sz w:val="20"/>
              </w:rPr>
              <w:t>
(скрининговых) осмотров, предоставление аналитического</w:t>
            </w:r>
          </w:p>
          <w:p>
            <w:pPr>
              <w:spacing w:after="20"/>
              <w:ind w:left="20"/>
              <w:jc w:val="both"/>
            </w:pPr>
            <w:r>
              <w:rPr>
                <w:rFonts w:ascii="Times New Roman"/>
                <w:b w:val="false"/>
                <w:i w:val="false"/>
                <w:color w:val="000000"/>
                <w:sz w:val="20"/>
              </w:rPr>
              <w:t>
отчета в НЦПФЗОЖ – ежеквартально к 15 числу месяца,</w:t>
            </w:r>
          </w:p>
          <w:p>
            <w:pPr>
              <w:spacing w:after="20"/>
              <w:ind w:left="20"/>
              <w:jc w:val="both"/>
            </w:pPr>
            <w:r>
              <w:rPr>
                <w:rFonts w:ascii="Times New Roman"/>
                <w:b w:val="false"/>
                <w:i w:val="false"/>
                <w:color w:val="000000"/>
                <w:sz w:val="20"/>
              </w:rPr>
              <w:t>
следующего за отчетным.</w:t>
            </w:r>
          </w:p>
          <w:p>
            <w:pPr>
              <w:spacing w:after="20"/>
              <w:ind w:left="20"/>
              <w:jc w:val="both"/>
            </w:pPr>
            <w:r>
              <w:rPr>
                <w:rFonts w:ascii="Times New Roman"/>
                <w:b w:val="false"/>
                <w:i w:val="false"/>
                <w:color w:val="000000"/>
                <w:sz w:val="20"/>
              </w:rPr>
              <w:t>
3. Предоставление в НЦПФЗОЖ ежегодного заключительного</w:t>
            </w:r>
          </w:p>
          <w:p>
            <w:pPr>
              <w:spacing w:after="20"/>
              <w:ind w:left="20"/>
              <w:jc w:val="both"/>
            </w:pPr>
            <w:r>
              <w:rPr>
                <w:rFonts w:ascii="Times New Roman"/>
                <w:b w:val="false"/>
                <w:i w:val="false"/>
                <w:color w:val="000000"/>
                <w:sz w:val="20"/>
              </w:rPr>
              <w:t>
аналитического отчета по проведению профилактических</w:t>
            </w:r>
          </w:p>
          <w:p>
            <w:pPr>
              <w:spacing w:after="20"/>
              <w:ind w:left="20"/>
              <w:jc w:val="both"/>
            </w:pPr>
            <w:r>
              <w:rPr>
                <w:rFonts w:ascii="Times New Roman"/>
                <w:b w:val="false"/>
                <w:i w:val="false"/>
                <w:color w:val="000000"/>
                <w:sz w:val="20"/>
              </w:rPr>
              <w:t>
медицинских (скрининговых) осмотров к 20 января</w:t>
            </w:r>
          </w:p>
          <w:p>
            <w:pPr>
              <w:spacing w:after="20"/>
              <w:ind w:left="20"/>
              <w:jc w:val="both"/>
            </w:pPr>
            <w:r>
              <w:rPr>
                <w:rFonts w:ascii="Times New Roman"/>
                <w:b w:val="false"/>
                <w:i w:val="false"/>
                <w:color w:val="000000"/>
                <w:sz w:val="20"/>
              </w:rPr>
              <w:t>
следующего за отчетным периодом года.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МЗ РК "Казахский</w:t>
            </w:r>
          </w:p>
          <w:p>
            <w:pPr>
              <w:spacing w:after="20"/>
              <w:ind w:left="20"/>
              <w:jc w:val="both"/>
            </w:pPr>
            <w:r>
              <w:rPr>
                <w:rFonts w:ascii="Times New Roman"/>
                <w:b w:val="false"/>
                <w:i w:val="false"/>
                <w:color w:val="000000"/>
                <w:sz w:val="20"/>
              </w:rPr>
              <w:t>
научно-исследо-</w:t>
            </w:r>
          </w:p>
          <w:p>
            <w:pPr>
              <w:spacing w:after="20"/>
              <w:ind w:left="20"/>
              <w:jc w:val="both"/>
            </w:pPr>
            <w:r>
              <w:rPr>
                <w:rFonts w:ascii="Times New Roman"/>
                <w:b w:val="false"/>
                <w:i w:val="false"/>
                <w:color w:val="000000"/>
                <w:sz w:val="20"/>
              </w:rPr>
              <w:t>
вательский институт</w:t>
            </w:r>
          </w:p>
          <w:p>
            <w:pPr>
              <w:spacing w:after="20"/>
              <w:ind w:left="20"/>
              <w:jc w:val="both"/>
            </w:pPr>
            <w:r>
              <w:rPr>
                <w:rFonts w:ascii="Times New Roman"/>
                <w:b w:val="false"/>
                <w:i w:val="false"/>
                <w:color w:val="000000"/>
                <w:sz w:val="20"/>
              </w:rPr>
              <w:t>
глазных болезней"</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w:t>
            </w:r>
          </w:p>
          <w:p>
            <w:pPr>
              <w:spacing w:after="20"/>
              <w:ind w:left="20"/>
              <w:jc w:val="both"/>
            </w:pPr>
            <w:r>
              <w:rPr>
                <w:rFonts w:ascii="Times New Roman"/>
                <w:b w:val="false"/>
                <w:i w:val="false"/>
                <w:color w:val="000000"/>
                <w:sz w:val="20"/>
              </w:rPr>
              <w:t>
обеспечению скрининговых программ</w:t>
            </w:r>
          </w:p>
          <w:p>
            <w:pPr>
              <w:spacing w:after="20"/>
              <w:ind w:left="20"/>
              <w:jc w:val="both"/>
            </w:pPr>
            <w:r>
              <w:rPr>
                <w:rFonts w:ascii="Times New Roman"/>
                <w:b w:val="false"/>
                <w:i w:val="false"/>
                <w:color w:val="000000"/>
                <w:sz w:val="20"/>
              </w:rPr>
              <w:t>
2. Организационно-методическое руководство, координация,</w:t>
            </w:r>
          </w:p>
          <w:p>
            <w:pPr>
              <w:spacing w:after="20"/>
              <w:ind w:left="20"/>
              <w:jc w:val="both"/>
            </w:pPr>
            <w:r>
              <w:rPr>
                <w:rFonts w:ascii="Times New Roman"/>
                <w:b w:val="false"/>
                <w:i w:val="false"/>
                <w:color w:val="000000"/>
                <w:sz w:val="20"/>
              </w:rPr>
              <w:t>
мониторинг, оценка, практическая помощь в проведении</w:t>
            </w:r>
          </w:p>
          <w:p>
            <w:pPr>
              <w:spacing w:after="20"/>
              <w:ind w:left="20"/>
              <w:jc w:val="both"/>
            </w:pPr>
            <w:r>
              <w:rPr>
                <w:rFonts w:ascii="Times New Roman"/>
                <w:b w:val="false"/>
                <w:i w:val="false"/>
                <w:color w:val="000000"/>
                <w:sz w:val="20"/>
              </w:rPr>
              <w:t>
профилактических медицинских (скрининговых) осмотров по</w:t>
            </w:r>
          </w:p>
          <w:p>
            <w:pPr>
              <w:spacing w:after="20"/>
              <w:ind w:left="20"/>
              <w:jc w:val="both"/>
            </w:pPr>
            <w:r>
              <w:rPr>
                <w:rFonts w:ascii="Times New Roman"/>
                <w:b w:val="false"/>
                <w:i w:val="false"/>
                <w:color w:val="000000"/>
                <w:sz w:val="20"/>
              </w:rPr>
              <w:t>
раннему выявлению глаукомы среди отдельных целевых групп</w:t>
            </w:r>
          </w:p>
          <w:p>
            <w:pPr>
              <w:spacing w:after="20"/>
              <w:ind w:left="20"/>
              <w:jc w:val="both"/>
            </w:pPr>
            <w:r>
              <w:rPr>
                <w:rFonts w:ascii="Times New Roman"/>
                <w:b w:val="false"/>
                <w:i w:val="false"/>
                <w:color w:val="000000"/>
                <w:sz w:val="20"/>
              </w:rPr>
              <w:t>
населения.</w:t>
            </w:r>
          </w:p>
          <w:p>
            <w:pPr>
              <w:spacing w:after="20"/>
              <w:ind w:left="20"/>
              <w:jc w:val="both"/>
            </w:pPr>
            <w:r>
              <w:rPr>
                <w:rFonts w:ascii="Times New Roman"/>
                <w:b w:val="false"/>
                <w:i w:val="false"/>
                <w:color w:val="000000"/>
                <w:sz w:val="20"/>
              </w:rPr>
              <w:t>
6. Анализ результатов профилактических медицинских</w:t>
            </w:r>
          </w:p>
          <w:p>
            <w:pPr>
              <w:spacing w:after="20"/>
              <w:ind w:left="20"/>
              <w:jc w:val="both"/>
            </w:pPr>
            <w:r>
              <w:rPr>
                <w:rFonts w:ascii="Times New Roman"/>
                <w:b w:val="false"/>
                <w:i w:val="false"/>
                <w:color w:val="000000"/>
                <w:sz w:val="20"/>
              </w:rPr>
              <w:t>
(скрининговых) осмотров, предоставление аналитического</w:t>
            </w:r>
          </w:p>
          <w:p>
            <w:pPr>
              <w:spacing w:after="20"/>
              <w:ind w:left="20"/>
              <w:jc w:val="both"/>
            </w:pPr>
            <w:r>
              <w:rPr>
                <w:rFonts w:ascii="Times New Roman"/>
                <w:b w:val="false"/>
                <w:i w:val="false"/>
                <w:color w:val="000000"/>
                <w:sz w:val="20"/>
              </w:rPr>
              <w:t>
отчета в НЦПФЗОЖ – ежеквартально к 15 числу месяца,</w:t>
            </w:r>
          </w:p>
          <w:p>
            <w:pPr>
              <w:spacing w:after="20"/>
              <w:ind w:left="20"/>
              <w:jc w:val="both"/>
            </w:pPr>
            <w:r>
              <w:rPr>
                <w:rFonts w:ascii="Times New Roman"/>
                <w:b w:val="false"/>
                <w:i w:val="false"/>
                <w:color w:val="000000"/>
                <w:sz w:val="20"/>
              </w:rPr>
              <w:t>
следующего за отчетным.</w:t>
            </w:r>
          </w:p>
          <w:p>
            <w:pPr>
              <w:spacing w:after="20"/>
              <w:ind w:left="20"/>
              <w:jc w:val="both"/>
            </w:pPr>
            <w:r>
              <w:rPr>
                <w:rFonts w:ascii="Times New Roman"/>
                <w:b w:val="false"/>
                <w:i w:val="false"/>
                <w:color w:val="000000"/>
                <w:sz w:val="20"/>
              </w:rPr>
              <w:t>
3. Предоставление в НЦПФЗОЖ ежегодного заключительного</w:t>
            </w:r>
          </w:p>
          <w:p>
            <w:pPr>
              <w:spacing w:after="20"/>
              <w:ind w:left="20"/>
              <w:jc w:val="both"/>
            </w:pPr>
            <w:r>
              <w:rPr>
                <w:rFonts w:ascii="Times New Roman"/>
                <w:b w:val="false"/>
                <w:i w:val="false"/>
                <w:color w:val="000000"/>
                <w:sz w:val="20"/>
              </w:rPr>
              <w:t>
аналитического отчета по проведению профилактических</w:t>
            </w:r>
          </w:p>
          <w:p>
            <w:pPr>
              <w:spacing w:after="20"/>
              <w:ind w:left="20"/>
              <w:jc w:val="both"/>
            </w:pPr>
            <w:r>
              <w:rPr>
                <w:rFonts w:ascii="Times New Roman"/>
                <w:b w:val="false"/>
                <w:i w:val="false"/>
                <w:color w:val="000000"/>
                <w:sz w:val="20"/>
              </w:rPr>
              <w:t>
медицинских (скрининговых) осмотров к 20 января</w:t>
            </w:r>
          </w:p>
          <w:p>
            <w:pPr>
              <w:spacing w:after="20"/>
              <w:ind w:left="20"/>
              <w:jc w:val="both"/>
            </w:pPr>
            <w:r>
              <w:rPr>
                <w:rFonts w:ascii="Times New Roman"/>
                <w:b w:val="false"/>
                <w:i w:val="false"/>
                <w:color w:val="000000"/>
                <w:sz w:val="20"/>
              </w:rPr>
              <w:t>
следующего за отчетным периодом года.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w:t>
            </w:r>
          </w:p>
          <w:p>
            <w:pPr>
              <w:spacing w:after="20"/>
              <w:ind w:left="20"/>
              <w:jc w:val="both"/>
            </w:pPr>
            <w:r>
              <w:rPr>
                <w:rFonts w:ascii="Times New Roman"/>
                <w:b w:val="false"/>
                <w:i w:val="false"/>
                <w:color w:val="000000"/>
                <w:sz w:val="20"/>
              </w:rPr>
              <w:t>
научный центр</w:t>
            </w:r>
          </w:p>
          <w:p>
            <w:pPr>
              <w:spacing w:after="20"/>
              <w:ind w:left="20"/>
              <w:jc w:val="both"/>
            </w:pPr>
            <w:r>
              <w:rPr>
                <w:rFonts w:ascii="Times New Roman"/>
                <w:b w:val="false"/>
                <w:i w:val="false"/>
                <w:color w:val="000000"/>
                <w:sz w:val="20"/>
              </w:rPr>
              <w:t>
материнства и</w:t>
            </w:r>
          </w:p>
          <w:p>
            <w:pPr>
              <w:spacing w:after="20"/>
              <w:ind w:left="20"/>
              <w:jc w:val="both"/>
            </w:pPr>
            <w:r>
              <w:rPr>
                <w:rFonts w:ascii="Times New Roman"/>
                <w:b w:val="false"/>
                <w:i w:val="false"/>
                <w:color w:val="000000"/>
                <w:sz w:val="20"/>
              </w:rPr>
              <w:t>
детства" и РГП МЗ РК</w:t>
            </w:r>
          </w:p>
          <w:p>
            <w:pPr>
              <w:spacing w:after="20"/>
              <w:ind w:left="20"/>
              <w:jc w:val="both"/>
            </w:pPr>
            <w:r>
              <w:rPr>
                <w:rFonts w:ascii="Times New Roman"/>
                <w:b w:val="false"/>
                <w:i w:val="false"/>
                <w:color w:val="000000"/>
                <w:sz w:val="20"/>
              </w:rPr>
              <w:t>
"Научный центр</w:t>
            </w:r>
          </w:p>
          <w:p>
            <w:pPr>
              <w:spacing w:after="20"/>
              <w:ind w:left="20"/>
              <w:jc w:val="both"/>
            </w:pPr>
            <w:r>
              <w:rPr>
                <w:rFonts w:ascii="Times New Roman"/>
                <w:b w:val="false"/>
                <w:i w:val="false"/>
                <w:color w:val="000000"/>
                <w:sz w:val="20"/>
              </w:rPr>
              <w:t>
педиатрии и детской</w:t>
            </w:r>
          </w:p>
          <w:p>
            <w:pPr>
              <w:spacing w:after="20"/>
              <w:ind w:left="20"/>
              <w:jc w:val="both"/>
            </w:pPr>
            <w:r>
              <w:rPr>
                <w:rFonts w:ascii="Times New Roman"/>
                <w:b w:val="false"/>
                <w:i w:val="false"/>
                <w:color w:val="000000"/>
                <w:sz w:val="20"/>
              </w:rPr>
              <w:t>
хирургии"</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w:t>
            </w:r>
          </w:p>
          <w:p>
            <w:pPr>
              <w:spacing w:after="20"/>
              <w:ind w:left="20"/>
              <w:jc w:val="both"/>
            </w:pPr>
            <w:r>
              <w:rPr>
                <w:rFonts w:ascii="Times New Roman"/>
                <w:b w:val="false"/>
                <w:i w:val="false"/>
                <w:color w:val="000000"/>
                <w:sz w:val="20"/>
              </w:rPr>
              <w:t>
обеспечению скрининговых программ</w:t>
            </w:r>
          </w:p>
          <w:p>
            <w:pPr>
              <w:spacing w:after="20"/>
              <w:ind w:left="20"/>
              <w:jc w:val="both"/>
            </w:pPr>
            <w:r>
              <w:rPr>
                <w:rFonts w:ascii="Times New Roman"/>
                <w:b w:val="false"/>
                <w:i w:val="false"/>
                <w:color w:val="000000"/>
                <w:sz w:val="20"/>
              </w:rPr>
              <w:t>
2. Организационно-методическое руководство, координация,</w:t>
            </w:r>
          </w:p>
          <w:p>
            <w:pPr>
              <w:spacing w:after="20"/>
              <w:ind w:left="20"/>
              <w:jc w:val="both"/>
            </w:pPr>
            <w:r>
              <w:rPr>
                <w:rFonts w:ascii="Times New Roman"/>
                <w:b w:val="false"/>
                <w:i w:val="false"/>
                <w:color w:val="000000"/>
                <w:sz w:val="20"/>
              </w:rPr>
              <w:t>
мониторинг, оценка, практическая помощь в проведении</w:t>
            </w:r>
          </w:p>
          <w:p>
            <w:pPr>
              <w:spacing w:after="20"/>
              <w:ind w:left="20"/>
              <w:jc w:val="both"/>
            </w:pPr>
            <w:r>
              <w:rPr>
                <w:rFonts w:ascii="Times New Roman"/>
                <w:b w:val="false"/>
                <w:i w:val="false"/>
                <w:color w:val="000000"/>
                <w:sz w:val="20"/>
              </w:rPr>
              <w:t>
профилактических медицинских (скрининговых) осмотров,</w:t>
            </w:r>
          </w:p>
          <w:p>
            <w:pPr>
              <w:spacing w:after="20"/>
              <w:ind w:left="20"/>
              <w:jc w:val="both"/>
            </w:pPr>
            <w:r>
              <w:rPr>
                <w:rFonts w:ascii="Times New Roman"/>
                <w:b w:val="false"/>
                <w:i w:val="false"/>
                <w:color w:val="000000"/>
                <w:sz w:val="20"/>
              </w:rPr>
              <w:t>
динамического наблюдения и оздоровления детского</w:t>
            </w:r>
          </w:p>
          <w:p>
            <w:pPr>
              <w:spacing w:after="20"/>
              <w:ind w:left="20"/>
              <w:jc w:val="both"/>
            </w:pPr>
            <w:r>
              <w:rPr>
                <w:rFonts w:ascii="Times New Roman"/>
                <w:b w:val="false"/>
                <w:i w:val="false"/>
                <w:color w:val="000000"/>
                <w:sz w:val="20"/>
              </w:rPr>
              <w:t>
населения.</w:t>
            </w:r>
          </w:p>
          <w:p>
            <w:pPr>
              <w:spacing w:after="20"/>
              <w:ind w:left="20"/>
              <w:jc w:val="both"/>
            </w:pPr>
            <w:r>
              <w:rPr>
                <w:rFonts w:ascii="Times New Roman"/>
                <w:b w:val="false"/>
                <w:i w:val="false"/>
                <w:color w:val="000000"/>
                <w:sz w:val="20"/>
              </w:rPr>
              <w:t>
3. Анализ результатов профилактических медицинских</w:t>
            </w:r>
          </w:p>
          <w:p>
            <w:pPr>
              <w:spacing w:after="20"/>
              <w:ind w:left="20"/>
              <w:jc w:val="both"/>
            </w:pPr>
            <w:r>
              <w:rPr>
                <w:rFonts w:ascii="Times New Roman"/>
                <w:b w:val="false"/>
                <w:i w:val="false"/>
                <w:color w:val="000000"/>
                <w:sz w:val="20"/>
              </w:rPr>
              <w:t>
(скрининговых) осмотров, динамического наблюдения и</w:t>
            </w:r>
          </w:p>
          <w:p>
            <w:pPr>
              <w:spacing w:after="20"/>
              <w:ind w:left="20"/>
              <w:jc w:val="both"/>
            </w:pPr>
            <w:r>
              <w:rPr>
                <w:rFonts w:ascii="Times New Roman"/>
                <w:b w:val="false"/>
                <w:i w:val="false"/>
                <w:color w:val="000000"/>
                <w:sz w:val="20"/>
              </w:rPr>
              <w:t>
оздоровления детского населения, предоставление</w:t>
            </w:r>
          </w:p>
          <w:p>
            <w:pPr>
              <w:spacing w:after="20"/>
              <w:ind w:left="20"/>
              <w:jc w:val="both"/>
            </w:pPr>
            <w:r>
              <w:rPr>
                <w:rFonts w:ascii="Times New Roman"/>
                <w:b w:val="false"/>
                <w:i w:val="false"/>
                <w:color w:val="000000"/>
                <w:sz w:val="20"/>
              </w:rPr>
              <w:t>
аналитического отчета в НЦПФЗОЖ – ежеквартально к 15</w:t>
            </w:r>
          </w:p>
          <w:p>
            <w:pPr>
              <w:spacing w:after="20"/>
              <w:ind w:left="20"/>
              <w:jc w:val="both"/>
            </w:pPr>
            <w:r>
              <w:rPr>
                <w:rFonts w:ascii="Times New Roman"/>
                <w:b w:val="false"/>
                <w:i w:val="false"/>
                <w:color w:val="000000"/>
                <w:sz w:val="20"/>
              </w:rPr>
              <w:t>
числу месяца, следующего за отчетным.</w:t>
            </w:r>
          </w:p>
          <w:p>
            <w:pPr>
              <w:spacing w:after="20"/>
              <w:ind w:left="20"/>
              <w:jc w:val="both"/>
            </w:pPr>
            <w:r>
              <w:rPr>
                <w:rFonts w:ascii="Times New Roman"/>
                <w:b w:val="false"/>
                <w:i w:val="false"/>
                <w:color w:val="000000"/>
                <w:sz w:val="20"/>
              </w:rPr>
              <w:t>
4. Предоставление в НЦПФЗОЖ ежегодного заключительного</w:t>
            </w:r>
          </w:p>
          <w:p>
            <w:pPr>
              <w:spacing w:after="20"/>
              <w:ind w:left="20"/>
              <w:jc w:val="both"/>
            </w:pPr>
            <w:r>
              <w:rPr>
                <w:rFonts w:ascii="Times New Roman"/>
                <w:b w:val="false"/>
                <w:i w:val="false"/>
                <w:color w:val="000000"/>
                <w:sz w:val="20"/>
              </w:rPr>
              <w:t>
аналитического отчета по проведению профилактических</w:t>
            </w:r>
          </w:p>
          <w:p>
            <w:pPr>
              <w:spacing w:after="20"/>
              <w:ind w:left="20"/>
              <w:jc w:val="both"/>
            </w:pPr>
            <w:r>
              <w:rPr>
                <w:rFonts w:ascii="Times New Roman"/>
                <w:b w:val="false"/>
                <w:i w:val="false"/>
                <w:color w:val="000000"/>
                <w:sz w:val="20"/>
              </w:rPr>
              <w:t>
медицинских (скрининговых) осмотров к 20 января</w:t>
            </w:r>
          </w:p>
          <w:p>
            <w:pPr>
              <w:spacing w:after="20"/>
              <w:ind w:left="20"/>
              <w:jc w:val="both"/>
            </w:pPr>
            <w:r>
              <w:rPr>
                <w:rFonts w:ascii="Times New Roman"/>
                <w:b w:val="false"/>
                <w:i w:val="false"/>
                <w:color w:val="000000"/>
                <w:sz w:val="20"/>
              </w:rPr>
              <w:t>
следующего за отчетным периодом года.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казенное предприятие</w:t>
            </w:r>
          </w:p>
          <w:p>
            <w:pPr>
              <w:spacing w:after="20"/>
              <w:ind w:left="20"/>
              <w:jc w:val="both"/>
            </w:pPr>
            <w:r>
              <w:rPr>
                <w:rFonts w:ascii="Times New Roman"/>
                <w:b w:val="false"/>
                <w:i w:val="false"/>
                <w:color w:val="000000"/>
                <w:sz w:val="20"/>
              </w:rPr>
              <w:t>
МЗ РК</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детская клиническая</w:t>
            </w:r>
          </w:p>
          <w:p>
            <w:pPr>
              <w:spacing w:after="20"/>
              <w:ind w:left="20"/>
              <w:jc w:val="both"/>
            </w:pPr>
            <w:r>
              <w:rPr>
                <w:rFonts w:ascii="Times New Roman"/>
                <w:b w:val="false"/>
                <w:i w:val="false"/>
                <w:color w:val="000000"/>
                <w:sz w:val="20"/>
              </w:rPr>
              <w:t>
больница "Аксай"</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w:t>
            </w:r>
          </w:p>
          <w:p>
            <w:pPr>
              <w:spacing w:after="20"/>
              <w:ind w:left="20"/>
              <w:jc w:val="both"/>
            </w:pPr>
            <w:r>
              <w:rPr>
                <w:rFonts w:ascii="Times New Roman"/>
                <w:b w:val="false"/>
                <w:i w:val="false"/>
                <w:color w:val="000000"/>
                <w:sz w:val="20"/>
              </w:rPr>
              <w:t>
обеспечению скрининговых программ</w:t>
            </w:r>
          </w:p>
          <w:p>
            <w:pPr>
              <w:spacing w:after="20"/>
              <w:ind w:left="20"/>
              <w:jc w:val="both"/>
            </w:pPr>
            <w:r>
              <w:rPr>
                <w:rFonts w:ascii="Times New Roman"/>
                <w:b w:val="false"/>
                <w:i w:val="false"/>
                <w:color w:val="000000"/>
                <w:sz w:val="20"/>
              </w:rPr>
              <w:t>
2. Организационно-методическое руководство, координация,</w:t>
            </w:r>
          </w:p>
          <w:p>
            <w:pPr>
              <w:spacing w:after="20"/>
              <w:ind w:left="20"/>
              <w:jc w:val="both"/>
            </w:pPr>
            <w:r>
              <w:rPr>
                <w:rFonts w:ascii="Times New Roman"/>
                <w:b w:val="false"/>
                <w:i w:val="false"/>
                <w:color w:val="000000"/>
                <w:sz w:val="20"/>
              </w:rPr>
              <w:t>
мониторинг, оценка, практическая помощь в проведении</w:t>
            </w:r>
          </w:p>
          <w:p>
            <w:pPr>
              <w:spacing w:after="20"/>
              <w:ind w:left="20"/>
              <w:jc w:val="both"/>
            </w:pPr>
            <w:r>
              <w:rPr>
                <w:rFonts w:ascii="Times New Roman"/>
                <w:b w:val="false"/>
                <w:i w:val="false"/>
                <w:color w:val="000000"/>
                <w:sz w:val="20"/>
              </w:rPr>
              <w:t>
профилактических медицинских (скрининговых) осмотров по</w:t>
            </w:r>
          </w:p>
          <w:p>
            <w:pPr>
              <w:spacing w:after="20"/>
              <w:ind w:left="20"/>
              <w:jc w:val="both"/>
            </w:pPr>
            <w:r>
              <w:rPr>
                <w:rFonts w:ascii="Times New Roman"/>
                <w:b w:val="false"/>
                <w:i w:val="false"/>
                <w:color w:val="000000"/>
                <w:sz w:val="20"/>
              </w:rPr>
              <w:t>
раннему выявлению тугоухости у детей.</w:t>
            </w:r>
          </w:p>
          <w:p>
            <w:pPr>
              <w:spacing w:after="20"/>
              <w:ind w:left="20"/>
              <w:jc w:val="both"/>
            </w:pPr>
            <w:r>
              <w:rPr>
                <w:rFonts w:ascii="Times New Roman"/>
                <w:b w:val="false"/>
                <w:i w:val="false"/>
                <w:color w:val="000000"/>
                <w:sz w:val="20"/>
              </w:rPr>
              <w:t>
3. Анализ результатов профилактических медицинских</w:t>
            </w:r>
          </w:p>
          <w:p>
            <w:pPr>
              <w:spacing w:after="20"/>
              <w:ind w:left="20"/>
              <w:jc w:val="both"/>
            </w:pPr>
            <w:r>
              <w:rPr>
                <w:rFonts w:ascii="Times New Roman"/>
                <w:b w:val="false"/>
                <w:i w:val="false"/>
                <w:color w:val="000000"/>
                <w:sz w:val="20"/>
              </w:rPr>
              <w:t>
(скрининговых) осмотров по раннему выявлению тугоухости</w:t>
            </w:r>
          </w:p>
          <w:p>
            <w:pPr>
              <w:spacing w:after="20"/>
              <w:ind w:left="20"/>
              <w:jc w:val="both"/>
            </w:pPr>
            <w:r>
              <w:rPr>
                <w:rFonts w:ascii="Times New Roman"/>
                <w:b w:val="false"/>
                <w:i w:val="false"/>
                <w:color w:val="000000"/>
                <w:sz w:val="20"/>
              </w:rPr>
              <w:t>
у детей, предоставление аналитического отчета в НЦПФЗОЖ</w:t>
            </w:r>
          </w:p>
          <w:p>
            <w:pPr>
              <w:spacing w:after="20"/>
              <w:ind w:left="20"/>
              <w:jc w:val="both"/>
            </w:pPr>
            <w:r>
              <w:rPr>
                <w:rFonts w:ascii="Times New Roman"/>
                <w:b w:val="false"/>
                <w:i w:val="false"/>
                <w:color w:val="000000"/>
                <w:sz w:val="20"/>
              </w:rPr>
              <w:t>
– ежеквартально к 15 числу месяца,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4. Предоставление в НЦПФЗОЖ ежегодного заключительного</w:t>
            </w:r>
          </w:p>
          <w:p>
            <w:pPr>
              <w:spacing w:after="20"/>
              <w:ind w:left="20"/>
              <w:jc w:val="both"/>
            </w:pPr>
            <w:r>
              <w:rPr>
                <w:rFonts w:ascii="Times New Roman"/>
                <w:b w:val="false"/>
                <w:i w:val="false"/>
                <w:color w:val="000000"/>
                <w:sz w:val="20"/>
              </w:rPr>
              <w:t>
аналитического отчета по проведению профилактических</w:t>
            </w:r>
          </w:p>
          <w:p>
            <w:pPr>
              <w:spacing w:after="20"/>
              <w:ind w:left="20"/>
              <w:jc w:val="both"/>
            </w:pPr>
            <w:r>
              <w:rPr>
                <w:rFonts w:ascii="Times New Roman"/>
                <w:b w:val="false"/>
                <w:i w:val="false"/>
                <w:color w:val="000000"/>
                <w:sz w:val="20"/>
              </w:rPr>
              <w:t>
медицинских (скрининговых) осмотров к 20 января</w:t>
            </w:r>
          </w:p>
          <w:p>
            <w:pPr>
              <w:spacing w:after="20"/>
              <w:ind w:left="20"/>
              <w:jc w:val="both"/>
            </w:pPr>
            <w:r>
              <w:rPr>
                <w:rFonts w:ascii="Times New Roman"/>
                <w:b w:val="false"/>
                <w:i w:val="false"/>
                <w:color w:val="000000"/>
                <w:sz w:val="20"/>
              </w:rPr>
              <w:t>
следующего за отчетным периодом года.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ответcтвенностью</w:t>
            </w:r>
          </w:p>
          <w:p>
            <w:pPr>
              <w:spacing w:after="20"/>
              <w:ind w:left="20"/>
              <w:jc w:val="both"/>
            </w:pPr>
            <w:r>
              <w:rPr>
                <w:rFonts w:ascii="Times New Roman"/>
                <w:b w:val="false"/>
                <w:i w:val="false"/>
                <w:color w:val="000000"/>
                <w:sz w:val="20"/>
              </w:rPr>
              <w:t>
"Мединформ"</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w:t>
            </w:r>
          </w:p>
          <w:p>
            <w:pPr>
              <w:spacing w:after="20"/>
              <w:ind w:left="20"/>
              <w:jc w:val="both"/>
            </w:pPr>
            <w:r>
              <w:rPr>
                <w:rFonts w:ascii="Times New Roman"/>
                <w:b w:val="false"/>
                <w:i w:val="false"/>
                <w:color w:val="000000"/>
                <w:sz w:val="20"/>
              </w:rPr>
              <w:t>
обеспечению скрининговых программ.</w:t>
            </w:r>
          </w:p>
          <w:p>
            <w:pPr>
              <w:spacing w:after="20"/>
              <w:ind w:left="20"/>
              <w:jc w:val="both"/>
            </w:pPr>
            <w:r>
              <w:rPr>
                <w:rFonts w:ascii="Times New Roman"/>
                <w:b w:val="false"/>
                <w:i w:val="false"/>
                <w:color w:val="000000"/>
                <w:sz w:val="20"/>
              </w:rPr>
              <w:t>
2. Доработка программного комплекса "АИС-Поликлиника" на</w:t>
            </w:r>
          </w:p>
          <w:p>
            <w:pPr>
              <w:spacing w:after="20"/>
              <w:ind w:left="20"/>
              <w:jc w:val="both"/>
            </w:pPr>
            <w:r>
              <w:rPr>
                <w:rFonts w:ascii="Times New Roman"/>
                <w:b w:val="false"/>
                <w:i w:val="false"/>
                <w:color w:val="000000"/>
                <w:sz w:val="20"/>
              </w:rPr>
              <w:t>
постоянной основе с учетом результатов профилактических</w:t>
            </w:r>
          </w:p>
          <w:p>
            <w:pPr>
              <w:spacing w:after="20"/>
              <w:ind w:left="20"/>
              <w:jc w:val="both"/>
            </w:pPr>
            <w:r>
              <w:rPr>
                <w:rFonts w:ascii="Times New Roman"/>
                <w:b w:val="false"/>
                <w:i w:val="false"/>
                <w:color w:val="000000"/>
                <w:sz w:val="20"/>
              </w:rPr>
              <w:t>
медицинских (скрининговых) осмотров.</w:t>
            </w:r>
          </w:p>
          <w:p>
            <w:pPr>
              <w:spacing w:after="20"/>
              <w:ind w:left="20"/>
              <w:jc w:val="both"/>
            </w:pPr>
            <w:r>
              <w:rPr>
                <w:rFonts w:ascii="Times New Roman"/>
                <w:b w:val="false"/>
                <w:i w:val="false"/>
                <w:color w:val="000000"/>
                <w:sz w:val="20"/>
              </w:rPr>
              <w:t>
3. Сбор и формирование электронной базы данных,</w:t>
            </w:r>
          </w:p>
          <w:p>
            <w:pPr>
              <w:spacing w:after="20"/>
              <w:ind w:left="20"/>
              <w:jc w:val="both"/>
            </w:pPr>
            <w:r>
              <w:rPr>
                <w:rFonts w:ascii="Times New Roman"/>
                <w:b w:val="false"/>
                <w:i w:val="false"/>
                <w:color w:val="000000"/>
                <w:sz w:val="20"/>
              </w:rPr>
              <w:t>
обработка, формирование выходных форм профилактических</w:t>
            </w:r>
          </w:p>
          <w:p>
            <w:pPr>
              <w:spacing w:after="20"/>
              <w:ind w:left="20"/>
              <w:jc w:val="both"/>
            </w:pPr>
            <w:r>
              <w:rPr>
                <w:rFonts w:ascii="Times New Roman"/>
                <w:b w:val="false"/>
                <w:i w:val="false"/>
                <w:color w:val="000000"/>
                <w:sz w:val="20"/>
              </w:rPr>
              <w:t>
медицинских (скрининговых) осмотров.</w:t>
            </w:r>
          </w:p>
          <w:p>
            <w:pPr>
              <w:spacing w:after="20"/>
              <w:ind w:left="20"/>
              <w:jc w:val="both"/>
            </w:pPr>
            <w:r>
              <w:rPr>
                <w:rFonts w:ascii="Times New Roman"/>
                <w:b w:val="false"/>
                <w:i w:val="false"/>
                <w:color w:val="000000"/>
                <w:sz w:val="20"/>
              </w:rPr>
              <w:t>
4. Предоставление в МЗ РК и НЦПФЗОЖ выходных форм по</w:t>
            </w:r>
          </w:p>
          <w:p>
            <w:pPr>
              <w:spacing w:after="20"/>
              <w:ind w:left="20"/>
              <w:jc w:val="both"/>
            </w:pPr>
            <w:r>
              <w:rPr>
                <w:rFonts w:ascii="Times New Roman"/>
                <w:b w:val="false"/>
                <w:i w:val="false"/>
                <w:color w:val="000000"/>
                <w:sz w:val="20"/>
              </w:rPr>
              <w:t>
результатам проведения профилактических медицинских</w:t>
            </w:r>
          </w:p>
          <w:p>
            <w:pPr>
              <w:spacing w:after="20"/>
              <w:ind w:left="20"/>
              <w:jc w:val="both"/>
            </w:pPr>
            <w:r>
              <w:rPr>
                <w:rFonts w:ascii="Times New Roman"/>
                <w:b w:val="false"/>
                <w:i w:val="false"/>
                <w:color w:val="000000"/>
                <w:sz w:val="20"/>
              </w:rPr>
              <w:t>
(скрининговых) осмотров – ежеквартально к 10 числу</w:t>
            </w:r>
          </w:p>
          <w:p>
            <w:pPr>
              <w:spacing w:after="20"/>
              <w:ind w:left="20"/>
              <w:jc w:val="both"/>
            </w:pPr>
            <w:r>
              <w:rPr>
                <w:rFonts w:ascii="Times New Roman"/>
                <w:b w:val="false"/>
                <w:i w:val="false"/>
                <w:color w:val="000000"/>
                <w:sz w:val="20"/>
              </w:rPr>
              <w:t>
месяца, следующего за отчетным, заключительных за год –</w:t>
            </w:r>
          </w:p>
          <w:p>
            <w:pPr>
              <w:spacing w:after="20"/>
              <w:ind w:left="20"/>
              <w:jc w:val="both"/>
            </w:pPr>
            <w:r>
              <w:rPr>
                <w:rFonts w:ascii="Times New Roman"/>
                <w:b w:val="false"/>
                <w:i w:val="false"/>
                <w:color w:val="000000"/>
                <w:sz w:val="20"/>
              </w:rPr>
              <w:t>
к 5 января следующего за отчетным периодом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руководители названных организаций создают постоянно действующую рабочую группу по координации, мониторингу и анализу скрининговых осмотров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