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51b5" w14:textId="3df5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в сфере частного предпринимательства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применением, за соблюдением установленных правил обращения и функционирования взрывчатых и ядовитых веществ, за охранной деятельностью, за множительно-копировальной техникой цветного изображения, а также деятельностью штемпельно-граверных предприятий и субъектов,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28 марта 2011 года № 132 и Министра экономического развития и торговли Республики Казахстан от 11 апреля 2011 года № 100. Зарегистрирован в Министерстве юстиции Республики Казахстан 26 апреля 2011 года № 6916. Утратил силу совместным приказом Министра внутренних дел РК от 29 мая 2013 года № 359 и Первого заместителя Премьер-Министра РК - Министра регионального развития РК от 27 июня 2013 года № 113/НҚ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Совместный приказ утратил силу совместным приказом Министра внутренних дел РК от 29.05.2013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Первого заместителя Премьер-Министра РК - Министра регионального развития РК от 27.06.2013 № 113/НҚ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сфере частного предпринимательства за деятельностью физических и юридических лиц, занятых в сфере оборота гражданского и служебного оружия и патронов к нему, гражданских пиротехнических веществ и изделий с их применением, за соблюдением установленных правил обращения и функционирования взрывчатых и ядовитых веществ, за охранной деятельностью, за множительно-копировальной техникой цветного изображения, а также деятельностью штемпельно-граверных предприятий и субъектов,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Комитета административной полиции Министерства внутренних дел Республики Казахстан (Тыныбеков К.С.)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Астана, Алматы, и на транспорте организовать изучение и выполнение требований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декабря 2009 года № 504 и Министра экономики и бюджетного планирования Республики Казахстан от 10 февраля 2010 года № 41 "Об утверждении критериев оценки степени риска субъектов,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субъектов охранной деятельности, а также субъектов с хранением гражданского и служебного оружия и патронов к нему, взрывчатых веществ и материалов, гражданских пиротехнических веществ и изделий с их применением, ядовитых веществ, множительно-копировальной техники цветного изображения и штемпельно-граверных предприятий по изготовлению печатей и штампов".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Республики Казахстан Кулинич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внутренних дел  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С. Баймаганбетов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________ Ж. Айтжанова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132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апреля 2011 года № 100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за деятельностью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лиц, занятых в сфере оборота гражданского и служебного оружия и</w:t>
      </w:r>
      <w:r>
        <w:br/>
      </w:r>
      <w:r>
        <w:rPr>
          <w:rFonts w:ascii="Times New Roman"/>
          <w:b/>
          <w:i w:val="false"/>
          <w:color w:val="000000"/>
        </w:rPr>
        <w:t>
патронов к нему, гражданских пиротехнических веществ и изделий</w:t>
      </w:r>
      <w:r>
        <w:br/>
      </w:r>
      <w:r>
        <w:rPr>
          <w:rFonts w:ascii="Times New Roman"/>
          <w:b/>
          <w:i w:val="false"/>
          <w:color w:val="000000"/>
        </w:rPr>
        <w:t>
с их применением, за соблюдением установленных правил обращения</w:t>
      </w:r>
      <w:r>
        <w:br/>
      </w:r>
      <w:r>
        <w:rPr>
          <w:rFonts w:ascii="Times New Roman"/>
          <w:b/>
          <w:i w:val="false"/>
          <w:color w:val="000000"/>
        </w:rPr>
        <w:t>
и функционирования взрывчатых и ядовитых веществ, за охранной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деятельностью, за множительно-копировальной техникой цветного</w:t>
      </w:r>
      <w:r>
        <w:br/>
      </w:r>
      <w:r>
        <w:rPr>
          <w:rFonts w:ascii="Times New Roman"/>
          <w:b/>
          <w:i w:val="false"/>
          <w:color w:val="000000"/>
        </w:rPr>
        <w:t>
изображения, а также деятельностью штемпельно-граверных</w:t>
      </w:r>
      <w:r>
        <w:br/>
      </w:r>
      <w:r>
        <w:rPr>
          <w:rFonts w:ascii="Times New Roman"/>
          <w:b/>
          <w:i w:val="false"/>
          <w:color w:val="000000"/>
        </w:rPr>
        <w:t>
предприятий и субъектов, осуществляющих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
монтажу, наладке и техническому обслуживанию средств охранной</w:t>
      </w:r>
      <w:r>
        <w:br/>
      </w:r>
      <w:r>
        <w:rPr>
          <w:rFonts w:ascii="Times New Roman"/>
          <w:b/>
          <w:i w:val="false"/>
          <w:color w:val="000000"/>
        </w:rPr>
        <w:t>
сигнализации, за исключением деятельности при выполнении</w:t>
      </w:r>
      <w:r>
        <w:br/>
      </w:r>
      <w:r>
        <w:rPr>
          <w:rFonts w:ascii="Times New Roman"/>
          <w:b/>
          <w:i w:val="false"/>
          <w:color w:val="000000"/>
        </w:rPr>
        <w:t>
строительно-монтажных работ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разработаны для субъектов осуществляющих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охранной деятельности, а также субъектов занятых в сфере оборота гражданского и служебного оружия и патронов к нему (далее - оружие), гражданских пиротехнических веществ и изделий с их применением, взрывчатых и ядовитых веществ, множительно-копировальной техники цветного изображения (далее - проверяемые субъекты), штемпельно-граверных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- вероятность причинения вреда жизни и здоровью человека, нанесения ущерба имуществу и окружающей среде, а также создания угрозы общественной безопасности, с учетом степени тяжести его последствий, выразившаяся 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создании незаконных военизированных формирований или преступных организаций, функционировании охранных структур с иностранным участием, использовании охранных организаций для дестабилизации обстановки в стране, совершения противоправных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переходе оружия, взрывчатых и ядовитых веществ в нелегальный оборот, использовании их в противоправных целях, в том числе при совершении актов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незаконном изготовлении денежных знаков и ценных бумаг, печатной продукции, содержащей призывы к насильственному изменению конституционного строя, нарушению целостности государства, подрыву национальной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проверяемые субъекты - физические и юридические лица, занятые в сфере оборота гражданского и служебного оружия и патронов к нему, гражданских пиротехнических веществ и изделий с их применением, взрывчатых и ядовитых веществ, охранной деятельности, множительно-копировальной техники цветного изображения, штемпельно-граверных предприятий, а также субъекты, осуществляющие деятельность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Периодичность проведения плановых проверок определяется в зависимости от степени риска с периодичностью не чаще: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год - при высокой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три года - при средней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одного раза в пять лет - при незначительной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подразделяются на 2 вида: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объективные - основаны на значимости рисков, возможных при осуществлении деятельности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субъективные - определяются в зависимости от допущенных проверяемыми субъектами нарушений установленных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Субъективные критерии состоят из значительных и незначительных 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Первичное отнесение проверяемых субъектов по степеням рисков осуществляется только на основе объективных критериев оценки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Вторичное отнесение проверяемых субъектов по степеням рисков осуществляется с учетом субъективных критериев.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входящие в 3 группу незначительной степени риска, при совершении в течение проверяемого периода одного значительного или двух незначительных нарушений переводятся во 2 группу средней степени риска, а при совершении трех значительных нарушений - в 1 группу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входящие во 2 группу средней степени риска, при совершении в течение проверяемого периода одного значительного или двух незначительных нарушений переводятся в 1 группу высокой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последней плановой проверкой нарушений, проверяемые субъекты переводятся в группу меньшей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Проверяемые субъекты, отнесенные к 1 группе высокой степени риска по объективным критериям не могут быть переведены в более низкую группу риска и подлежат ежегодным проверкам.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Проверяемые субъекты, отнесенные к 2 и 3 группам риска, включаются в план проверок с учетом даты последней проверки.</w:t>
      </w:r>
    </w:p>
    <w:bookmarkEnd w:id="3"/>
    <w:bookmarkStart w:name="z3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за деятельностью физических и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лиц, занятых в сфере оборота гражданского и служебного оружия и</w:t>
      </w:r>
      <w:r>
        <w:br/>
      </w:r>
      <w:r>
        <w:rPr>
          <w:rFonts w:ascii="Times New Roman"/>
          <w:b/>
          <w:i w:val="false"/>
          <w:color w:val="000000"/>
        </w:rPr>
        <w:t>
патронов к нему, гражданских пиротехнических веществ и изделий</w:t>
      </w:r>
      <w:r>
        <w:br/>
      </w:r>
      <w:r>
        <w:rPr>
          <w:rFonts w:ascii="Times New Roman"/>
          <w:b/>
          <w:i w:val="false"/>
          <w:color w:val="000000"/>
        </w:rPr>
        <w:t>
с их применением, за соблюдением установленных правил обращения</w:t>
      </w:r>
      <w:r>
        <w:br/>
      </w:r>
      <w:r>
        <w:rPr>
          <w:rFonts w:ascii="Times New Roman"/>
          <w:b/>
          <w:i w:val="false"/>
          <w:color w:val="000000"/>
        </w:rPr>
        <w:t>
и функционирования взрывчатых и ядовитых веществ, за</w:t>
      </w:r>
      <w:r>
        <w:br/>
      </w:r>
      <w:r>
        <w:rPr>
          <w:rFonts w:ascii="Times New Roman"/>
          <w:b/>
          <w:i w:val="false"/>
          <w:color w:val="000000"/>
        </w:rPr>
        <w:t>
множительно-копировальной техникой цветного изображения, а</w:t>
      </w:r>
      <w:r>
        <w:br/>
      </w:r>
      <w:r>
        <w:rPr>
          <w:rFonts w:ascii="Times New Roman"/>
          <w:b/>
          <w:i w:val="false"/>
          <w:color w:val="000000"/>
        </w:rPr>
        <w:t>
также деятельностью штемпельно-граверных предприятий</w:t>
      </w:r>
    </w:p>
    <w:bookmarkEnd w:id="4"/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Проверяемые субъекты по объективным критериям подразделяются на следующие группы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группа с высокой степенью риска - юридические лица, использующие и хранящие оружие, взрывчатые и ядовитые вещества;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группа со средней степенью риска - юридические лица и индивидуальные предприниматели, хранящие и использующие гражданские пиротехнические вещества и изделия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группа с незначительной степенью риска - юридические лица, хранящие и использующие множительно-копировальную технику цветного изображения, а также штемпельно-граверные предприятия (юридические лица и индивидуальные предприниматели) по изготовлению печатей и штампов.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разрешения на хранение оружия, взрывчатых и ядовитых веществ, гражданских пиротехнических изделий, множительно-копировальной техники цветного изображения, функционирование штемпельно-граверного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разрешения на перевозку оружия, взрывчатых и ядовитых веществ, гражданских пиротехнических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индивидуального </w:t>
      </w:r>
      <w:r>
        <w:rPr>
          <w:rFonts w:ascii="Times New Roman"/>
          <w:b w:val="false"/>
          <w:i w:val="false"/>
          <w:color w:val="000000"/>
          <w:sz w:val="28"/>
        </w:rPr>
        <w:t>разрешения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хранение и ношение служебного оружия у работников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служебного оружия не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хранение оружия в неустановленном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допущение фактов хищения или утраты оружия, взрывчатых и ядовитых веществ, гражданских пиротехнических изделий, множительно-копировальной техники цветного изображения, печатей и штампов;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нарушение порядка ведения учета оружия, взрывчатых и ядовитых веществ, гражданских пиротехнических изделий, множительно-копировальной техники цветного изображения, печатей и штампов;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либо неисправность охранно-пожарной сигнализации в помещении для хранения оружия, взрывчатых и ядовитых веществ, гражданских пиротехнических изделий, множительно-копировальной техники цветного изображения, печатей и штампов;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нарушение технической укрепленности помещения для хранения оружия, взрывчатых и ядовитых веществ, гражданских пиротехнических изделий, множительно-копировальной техники цветного изображения, печатей и штампов;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ввоз</w:t>
      </w:r>
      <w:r>
        <w:rPr>
          <w:rFonts w:ascii="Times New Roman"/>
          <w:b w:val="false"/>
          <w:i w:val="false"/>
          <w:color w:val="000000"/>
          <w:sz w:val="28"/>
        </w:rPr>
        <w:t xml:space="preserve"> (вывоз) на территорию республики оружия, </w:t>
      </w:r>
      <w:r>
        <w:rPr>
          <w:rFonts w:ascii="Times New Roman"/>
          <w:b w:val="false"/>
          <w:i w:val="false"/>
          <w:color w:val="000000"/>
          <w:sz w:val="28"/>
        </w:rPr>
        <w:t>взрывчатых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ядовитых веществ, </w:t>
      </w:r>
      <w:r>
        <w:rPr>
          <w:rFonts w:ascii="Times New Roman"/>
          <w:b w:val="false"/>
          <w:i w:val="false"/>
          <w:color w:val="000000"/>
          <w:sz w:val="28"/>
        </w:rPr>
        <w:t>гражданских пиротехнических изделий</w:t>
      </w:r>
      <w:r>
        <w:rPr>
          <w:rFonts w:ascii="Times New Roman"/>
          <w:b w:val="false"/>
          <w:i w:val="false"/>
          <w:color w:val="000000"/>
          <w:sz w:val="28"/>
        </w:rPr>
        <w:t>, множительно-копировальной техники цветного изображения без разрешения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отсутствие сертификата соответствия на продаваемое магазинами оружие и патроны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несоответствие квалификационным требованиям лиц, имеющих доступ к оружию, взрывчатым и ядовитым веществам, гражданским пиротехническим изделиям, множительно-копировальной техники цветного изображения, печатям и штампам.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несоблюдение </w:t>
      </w:r>
      <w:r>
        <w:rPr>
          <w:rFonts w:ascii="Times New Roman"/>
          <w:b w:val="false"/>
          <w:i w:val="false"/>
          <w:color w:val="000000"/>
          <w:sz w:val="28"/>
        </w:rPr>
        <w:t>сроков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несвоевременная регистрация филиалами (представительствами) проверяемых субъектов оружия при его получении на баланс;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несвоевременное продление разрешения на хранение оружия, взрывчатых и ядовитых веществ, гражданских пиротехнических изделий, множительно-копировальной техники цветного изображения, функционирование штемпельно-граверного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несвоевременное продление индивидуальных разрешений на хранение и ношение служебного оружия работниками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непредставление, либо несвоевременное представление отчета о количестве поступившего и реализованного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превышение допустимой нормы на складах хранения взрывчатых и ядовитых веществ, гражданских пиротехнических изделий.</w:t>
      </w:r>
    </w:p>
    <w:bookmarkEnd w:id="5"/>
    <w:bookmarkStart w:name="z6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Критерии оценки степени риска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за охранной деятельностью, а также</w:t>
      </w:r>
      <w:r>
        <w:br/>
      </w:r>
      <w:r>
        <w:rPr>
          <w:rFonts w:ascii="Times New Roman"/>
          <w:b/>
          <w:i w:val="false"/>
          <w:color w:val="000000"/>
        </w:rPr>
        <w:t>
субъектов, осуществляющих деятельность по монтажу, наладке и</w:t>
      </w:r>
      <w:r>
        <w:br/>
      </w:r>
      <w:r>
        <w:rPr>
          <w:rFonts w:ascii="Times New Roman"/>
          <w:b/>
          <w:i w:val="false"/>
          <w:color w:val="000000"/>
        </w:rPr>
        <w:t>
техническому обслуживанию средств охранной сигнализации,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деятельности при выполнении строительно-монтажных</w:t>
      </w:r>
      <w:r>
        <w:br/>
      </w:r>
      <w:r>
        <w:rPr>
          <w:rFonts w:ascii="Times New Roman"/>
          <w:b/>
          <w:i w:val="false"/>
          <w:color w:val="000000"/>
        </w:rPr>
        <w:t>
работ</w:t>
      </w:r>
    </w:p>
    <w:bookmarkEnd w:id="6"/>
    <w:bookmarkStart w:name="z6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объективным критериям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группа с высокой степенью риска - юридические и физические лица, осуществляющие охранную деятельность с использованием служебного и гражданского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группа со средней степенью риска - юридические и физические лица, осуществляющие охранную деятельность без использования служебного и гражданского оружия, а также занимающиеся деятельностью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допустившие нарушения в последние три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группа с незначительной степенью риска - юридические и физические лица, осуществляющие охранную деятельность, а также занимающиеся деятельностью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не вошедшие в 1 и 2 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иностранного участия в деятельности охранных 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у руководителя охранной структуры либо охранника психического заболевания, алкоголизма, наркомании;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у руководителя охранной структуры либо охранника судимости за совершение умышленного преступления;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отсутствие у руководителя охранной структуры высшего юридического образования или стажа работы не менее трех лет на командных должностях в Вооруженных Силах или на руководящих должностях в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у руководителя охранной структуры либо охранника свидетельства о прохождении специальных курсов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помещения, предназначенного для хранения оружия и боеприпасов (либо договора на их хранение в помещениях, отвечающих установленным требованиям), в случае использования служебного оружия;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совершение преступлений руководителями охранных структур и охранниками при исполнении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у производителей работ по установке систем безопасности допуска к работам с высоким напряжением (до 1000 вольт).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 незначительным нарушениям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невыполнение предписаний и других законных требований сотрудников органов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несвоевременное прохождения руководителем охранной структуры либо охранником курсов повышения квалификации (специальный курс обучения);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несоблюдение проверяемыми субъектами письменной формы заключения договоров об оказании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нарушение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норматива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охранников при охране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несоответствие руководителя охранной структуры либо охранника возрастному цензу;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несоблюдение требований об обязательном страховании работников, занимающих должности охранников;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ношение работниками охранных структур при исполнении служебных обязанностей форменной одежды неустановленного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отсутствие у руководителя организации по установке систем безопасности высшего технического образования (для физических лиц - высшего или среднего специального образования), соответствующего профилю работ в сфере технической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отсутствие в организации по установке систем безопасности заключения органов санитарного и экологического надзора об использовании оборудования с радиочастотным спектром;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отсутствие в организации по установке систем безопасности специального оборудования и помещения, отвечающего санитарным и экологическим нормам.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