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5900" w14:textId="651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финансов Республики Казахстан от 12 февраля 2009 года № 62 "Об утверждении Правил осуществления мониторинга сделок"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июня 2011 года № 299. Зарегистрирован в Министерстве юстиции Республики Казахстан 12 июля 2011 года № 7057. Утратил силу приказом Министра финансов Республики Казахстан от 9 января 2012 года № 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09.01.2012 </w:t>
      </w:r>
      <w:r>
        <w:rPr>
          <w:rFonts w:ascii="Times New Roman"/>
          <w:b w:val="false"/>
          <w:i w:val="false"/>
          <w:color w:val="ff0000"/>
          <w:sz w:val="28"/>
        </w:rPr>
        <w:t>№ 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12 февраля 2009 года № 62 "Об утверждении Правил осуществления мониторинга сделок" (зарегистрированный в Реестре государственной регистрации нормативных правовых актов под № 5589, опубликованный в газете "Юридическая газета" от 10 апреля 2009 года № 53 (1650))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мониторинга сделок,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Настоящие Правила осуществления мониторинга сделок (далее - Правила) разработаны в соответствии со 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5 июля 2008 года "О трансфертном ценообразовании" (далее - Закон), и определяют порядок заполнения участником сделки форм отчетности по мониторингу сделок и их представления в уполномоченные органы, а также порядок ведения документации по мониторингу сделок участниками сделок, в том числе осуществляющими сделки с товарами, которые не подлежат мониторингу сделок.</w:t>
      </w:r>
      <w:r>
        <w:br/>
      </w:r>
      <w:r>
        <w:rPr>
          <w:rFonts w:ascii="Times New Roman"/>
          <w:b w:val="false"/>
          <w:i w:val="false"/>
          <w:color w:val="000000"/>
          <w:sz w:val="28"/>
        </w:rPr>
        <w:t>
</w:t>
      </w:r>
      <w:r>
        <w:rPr>
          <w:rFonts w:ascii="Times New Roman"/>
          <w:b w:val="false"/>
          <w:i w:val="false"/>
          <w:color w:val="000000"/>
          <w:sz w:val="28"/>
        </w:rPr>
        <w:t>
      2. Мониторинг сделок осуществляется путем наблюдения уполномоченными органами за ценами, применяемыми участниками сделок и сбора от налогоплательщиков, подлежащих мониторингу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информации по международным деловым операциям, согласно перечню товаров (работ, услуг), международные деловые операции по которым подлежат мониторингу сделок,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2009 года № 293.</w:t>
      </w:r>
      <w:r>
        <w:br/>
      </w:r>
      <w:r>
        <w:rPr>
          <w:rFonts w:ascii="Times New Roman"/>
          <w:b w:val="false"/>
          <w:i w:val="false"/>
          <w:color w:val="000000"/>
          <w:sz w:val="28"/>
        </w:rPr>
        <w:t>
</w:t>
      </w:r>
      <w:r>
        <w:rPr>
          <w:rFonts w:ascii="Times New Roman"/>
          <w:b w:val="false"/>
          <w:i w:val="false"/>
          <w:color w:val="000000"/>
          <w:sz w:val="28"/>
        </w:rPr>
        <w:t>
      3. Заполненные формы отчетности по мониторингу сделок "Экспорт товаров (работ, услуг)" и "Импорт товаров (работ, услуг)" предоставляются в Налоговый комитет Министерства финансов Республики Казахстан (далее – Налоговый комитет) в электронном виде в формате Excel с подтверждением на бумажном носителе в соответствии со сроком, указанным в пункте 13 настоящих Правил.</w:t>
      </w:r>
      <w:r>
        <w:br/>
      </w:r>
      <w:r>
        <w:rPr>
          <w:rFonts w:ascii="Times New Roman"/>
          <w:b w:val="false"/>
          <w:i w:val="false"/>
          <w:color w:val="000000"/>
          <w:sz w:val="28"/>
        </w:rPr>
        <w:t>
</w:t>
      </w:r>
      <w:r>
        <w:rPr>
          <w:rFonts w:ascii="Times New Roman"/>
          <w:b w:val="false"/>
          <w:i w:val="false"/>
          <w:color w:val="000000"/>
          <w:sz w:val="28"/>
        </w:rPr>
        <w:t>
      Формы отчетности по мониторингу сделок "Экспорт товаров (работ, услуг)" и "Импорт товаров (работ, услуг)", представляемые участниками сделок на бумажном носителе, подписываются руководителем и главным бухгалтером, а также заверяются печатью.</w:t>
      </w:r>
      <w:r>
        <w:br/>
      </w:r>
      <w:r>
        <w:rPr>
          <w:rFonts w:ascii="Times New Roman"/>
          <w:b w:val="false"/>
          <w:i w:val="false"/>
          <w:color w:val="000000"/>
          <w:sz w:val="28"/>
        </w:rPr>
        <w:t>
</w:t>
      </w:r>
      <w:r>
        <w:rPr>
          <w:rFonts w:ascii="Times New Roman"/>
          <w:b w:val="false"/>
          <w:i w:val="false"/>
          <w:color w:val="000000"/>
          <w:sz w:val="28"/>
        </w:rPr>
        <w:t>
      4. После внедрения соответствующего программного обеспечения отчетность по мониторингу сделок участниками сделок представляется через систему передачи данных.</w:t>
      </w:r>
      <w:r>
        <w:br/>
      </w:r>
      <w:r>
        <w:rPr>
          <w:rFonts w:ascii="Times New Roman"/>
          <w:b w:val="false"/>
          <w:i w:val="false"/>
          <w:color w:val="000000"/>
          <w:sz w:val="28"/>
        </w:rPr>
        <w:t>
</w:t>
      </w:r>
      <w:r>
        <w:rPr>
          <w:rFonts w:ascii="Times New Roman"/>
          <w:b w:val="false"/>
          <w:i w:val="false"/>
          <w:color w:val="000000"/>
          <w:sz w:val="28"/>
        </w:rPr>
        <w:t>
      5. Налоговый комитет в течение пяти календарных дней с момента внедрения программного обеспечения опубликовывает на портале www.salyk.kz соответствующую информацию о внедрении программного обеспечения, необходимого для представления отчетности по мониторингу сделок участниками сделок.</w:t>
      </w:r>
      <w:r>
        <w:br/>
      </w:r>
      <w:r>
        <w:rPr>
          <w:rFonts w:ascii="Times New Roman"/>
          <w:b w:val="false"/>
          <w:i w:val="false"/>
          <w:color w:val="000000"/>
          <w:sz w:val="28"/>
        </w:rPr>
        <w:t>
</w:t>
      </w:r>
      <w:r>
        <w:rPr>
          <w:rFonts w:ascii="Times New Roman"/>
          <w:b w:val="false"/>
          <w:i w:val="false"/>
          <w:color w:val="000000"/>
          <w:sz w:val="28"/>
        </w:rPr>
        <w:t>
      6. База данных формируется на основе отчетности по мониторингу сделок, составляемой по формам отчетности по мониторингу сделок "Экспорт товаров (работ, услуг)" и "Импорт товаров (работ, услуг)" согласно приложениям 1 и 2 к настоящим Правилам.</w:t>
      </w:r>
      <w:r>
        <w:br/>
      </w:r>
      <w:r>
        <w:rPr>
          <w:rFonts w:ascii="Times New Roman"/>
          <w:b w:val="false"/>
          <w:i w:val="false"/>
          <w:color w:val="000000"/>
          <w:sz w:val="28"/>
        </w:rPr>
        <w:t>
</w:t>
      </w:r>
      <w:r>
        <w:rPr>
          <w:rFonts w:ascii="Times New Roman"/>
          <w:b w:val="false"/>
          <w:i w:val="false"/>
          <w:color w:val="000000"/>
          <w:sz w:val="28"/>
        </w:rPr>
        <w:t>
      7. Программное обеспечение по заполнению форм отчетности по мониторингу сделок выполняет функцию приведения заполненных форм отчетности участников сделки в однотипные файлы, записанные в едином стандарте.</w:t>
      </w:r>
      <w:r>
        <w:br/>
      </w:r>
      <w:r>
        <w:rPr>
          <w:rFonts w:ascii="Times New Roman"/>
          <w:b w:val="false"/>
          <w:i w:val="false"/>
          <w:color w:val="000000"/>
          <w:sz w:val="28"/>
        </w:rPr>
        <w:t>
</w:t>
      </w:r>
      <w:r>
        <w:rPr>
          <w:rFonts w:ascii="Times New Roman"/>
          <w:b w:val="false"/>
          <w:i w:val="false"/>
          <w:color w:val="000000"/>
          <w:sz w:val="28"/>
        </w:rPr>
        <w:t>
      8. Электронная система передачи данных представляет собой способ доставки заполненных форм отчетности по мониторингу сделок в виде файлов установленного стандарта до базы данных.</w:t>
      </w:r>
      <w:r>
        <w:br/>
      </w:r>
      <w:r>
        <w:rPr>
          <w:rFonts w:ascii="Times New Roman"/>
          <w:b w:val="false"/>
          <w:i w:val="false"/>
          <w:color w:val="000000"/>
          <w:sz w:val="28"/>
        </w:rPr>
        <w:t>
</w:t>
      </w:r>
      <w:r>
        <w:rPr>
          <w:rFonts w:ascii="Times New Roman"/>
          <w:b w:val="false"/>
          <w:i w:val="false"/>
          <w:color w:val="000000"/>
          <w:sz w:val="28"/>
        </w:rPr>
        <w:t>
      9. Формы отчетности по мониторингу сделок и программное обеспечение по их заполнению размещаются на портале Налогового комитета www.salyk.kz.";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При отсутствии в отчетном периоде международных деловых операций у участников сделок, определенных в пункте 2 настоящих Правил, формы отчетности по мониторингу сделок "Экспорт товаров (работ, услуг)" и "Импорт товаров (работ, услуг)" такими участниками сделок предоставляются в Налоговый комитет без заполнения соответствующих граф.";</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Участники сделок по товарам (работам, услугам), международные деловые операции по которым подлежат мониторингу сделок, предоставляют отчетность по мониторингу сделок в Налоговый комитет не позднее 15 мая года, следующего за отчетным, в соответствии с порядком и формами, определенными главой 3 настоящих Правил. Отчетным периодом является календарный год.</w:t>
      </w:r>
      <w:r>
        <w:br/>
      </w:r>
      <w:r>
        <w:rPr>
          <w:rFonts w:ascii="Times New Roman"/>
          <w:b w:val="false"/>
          <w:i w:val="false"/>
          <w:color w:val="000000"/>
          <w:sz w:val="28"/>
        </w:rPr>
        <w:t>
</w:t>
      </w:r>
      <w:r>
        <w:rPr>
          <w:rFonts w:ascii="Times New Roman"/>
          <w:b w:val="false"/>
          <w:i w:val="false"/>
          <w:color w:val="000000"/>
          <w:sz w:val="28"/>
        </w:rPr>
        <w:t>
      В случае продления срока предоставления налоговой отчетности по корпоративному подоходному налогу срок предоставления отчетности по мониторингу сделок продлевается до срока предоставления указанной налоговой отчетности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"15. Участник сделки представляет в Налоговый комитет расшифровку (подтверждающие документы) в течение тридцати календарных дней с момента получения запроса.";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По результатам мониторинга сделок в случае установления отклонения цены сделки от рыночной цены уполномоченные органы направляют участнику сделки письмо о наличии отклонения цены сделки от рыночной цены для предоставления информации, подтверждающей применяемую цену и (или) самостоятельную корректировку объектов налогообложения, а также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наименование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Порядок заполнения форм отчетности по мониторингу сделок";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"19. Отчетность по мониторингу сделок "Экспорт товаров (работ, услуг) по форме согласно приложению 1 к настоящим Правилам заполняется по мере отгрузки товара, выполнения работ, предоставления услуг, связанных с реализацией на экспорт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налогоплательщика-отправителя. Графа подлежит обязательному заполнению при представлении отчетности до 1 января 2012 года.</w:t>
      </w:r>
      <w:r>
        <w:br/>
      </w:r>
      <w:r>
        <w:rPr>
          <w:rFonts w:ascii="Times New Roman"/>
          <w:b w:val="false"/>
          <w:i w:val="false"/>
          <w:color w:val="000000"/>
          <w:sz w:val="28"/>
        </w:rPr>
        <w:t>
</w:t>
      </w:r>
      <w:r>
        <w:rPr>
          <w:rFonts w:ascii="Times New Roman"/>
          <w:b w:val="false"/>
          <w:i w:val="false"/>
          <w:color w:val="000000"/>
          <w:sz w:val="28"/>
        </w:rPr>
        <w:t>
      В графе 2-1 "ИИН (БИН)" указывается индивидуальный идентификационный номер (бизнес идентификационный номер) налогоплательщика – отправителя. Графа подлежит обязательному заполнению при представлении отчетности с 1 января 2012 года.</w:t>
      </w:r>
      <w:r>
        <w:br/>
      </w:r>
      <w:r>
        <w:rPr>
          <w:rFonts w:ascii="Times New Roman"/>
          <w:b w:val="false"/>
          <w:i w:val="false"/>
          <w:color w:val="000000"/>
          <w:sz w:val="28"/>
        </w:rPr>
        <w:t>
</w:t>
      </w:r>
      <w:r>
        <w:rPr>
          <w:rFonts w:ascii="Times New Roman"/>
          <w:b w:val="false"/>
          <w:i w:val="false"/>
          <w:color w:val="000000"/>
          <w:sz w:val="28"/>
        </w:rPr>
        <w:t>
      В графе 3 "Наименование отправителя (экспортера)" указывается полное наименование юридического лица (отправителя)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4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5 и 6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 графе 7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8 "Наименование товара (работы, услуги)"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9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10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11 "Страна отправления товара" указывается страна, из которой экспортируется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12 "Вид транспортировки" указываются виды транспортов (железнодорожный, воздушный и другие), используемых для экспорта товара.</w:t>
      </w:r>
      <w:r>
        <w:br/>
      </w:r>
      <w:r>
        <w:rPr>
          <w:rFonts w:ascii="Times New Roman"/>
          <w:b w:val="false"/>
          <w:i w:val="false"/>
          <w:color w:val="000000"/>
          <w:sz w:val="28"/>
        </w:rPr>
        <w:t>
      В графе 13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14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"Условия поставки товара" (работы, услуги)" указываются условия поставки товара (работы, услуги) согласно Инкотермс 2000.</w:t>
      </w:r>
      <w:r>
        <w:br/>
      </w:r>
      <w:r>
        <w:rPr>
          <w:rFonts w:ascii="Times New Roman"/>
          <w:b w:val="false"/>
          <w:i w:val="false"/>
          <w:color w:val="000000"/>
          <w:sz w:val="28"/>
        </w:rPr>
        <w:t>
</w:t>
      </w:r>
      <w:r>
        <w:rPr>
          <w:rFonts w:ascii="Times New Roman"/>
          <w:b w:val="false"/>
          <w:i w:val="false"/>
          <w:color w:val="000000"/>
          <w:sz w:val="28"/>
        </w:rPr>
        <w:t>
      В графах 17 и 18 "Дата и место отгрузки товара (работы, услуги)" указывается дата и место отгрузки товара (работы, услуги).</w:t>
      </w:r>
      <w:r>
        <w:br/>
      </w:r>
      <w:r>
        <w:rPr>
          <w:rFonts w:ascii="Times New Roman"/>
          <w:b w:val="false"/>
          <w:i w:val="false"/>
          <w:color w:val="000000"/>
          <w:sz w:val="28"/>
        </w:rPr>
        <w:t>
</w:t>
      </w:r>
      <w:r>
        <w:rPr>
          <w:rFonts w:ascii="Times New Roman"/>
          <w:b w:val="false"/>
          <w:i w:val="false"/>
          <w:color w:val="000000"/>
          <w:sz w:val="28"/>
        </w:rPr>
        <w:t>
      В графе 19 "Страна назначения товара (работы, услуги)" указывается страна назначения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20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21 и 22 "Наименование покупателя" и "Юридический адрес покупателя" указывается фамилия, имя, отчество физического лица или наименование юридического лица-получателя товара (работы, услуги) и юридический адрес покупателя.</w:t>
      </w:r>
      <w:r>
        <w:br/>
      </w:r>
      <w:r>
        <w:rPr>
          <w:rFonts w:ascii="Times New Roman"/>
          <w:b w:val="false"/>
          <w:i w:val="false"/>
          <w:color w:val="000000"/>
          <w:sz w:val="28"/>
        </w:rPr>
        <w:t>
</w:t>
      </w:r>
      <w:r>
        <w:rPr>
          <w:rFonts w:ascii="Times New Roman"/>
          <w:b w:val="false"/>
          <w:i w:val="false"/>
          <w:color w:val="000000"/>
          <w:sz w:val="28"/>
        </w:rPr>
        <w:t>
      В графе 23 "Страна регистрации покупателя" указывается страна регистрации покупателя.</w:t>
      </w:r>
      <w:r>
        <w:br/>
      </w:r>
      <w:r>
        <w:rPr>
          <w:rFonts w:ascii="Times New Roman"/>
          <w:b w:val="false"/>
          <w:i w:val="false"/>
          <w:color w:val="000000"/>
          <w:sz w:val="28"/>
        </w:rPr>
        <w:t>
</w:t>
      </w:r>
      <w:r>
        <w:rPr>
          <w:rFonts w:ascii="Times New Roman"/>
          <w:b w:val="false"/>
          <w:i w:val="false"/>
          <w:color w:val="000000"/>
          <w:sz w:val="28"/>
        </w:rPr>
        <w:t>
      В графе 24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25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26 и 27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28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29 "Единица измерения товара"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30 "Объем реализации товара" указывается объем фактически произведенного экспорта товара в единицах измерения, указанных в графе 29.</w:t>
      </w:r>
      <w:r>
        <w:br/>
      </w:r>
      <w:r>
        <w:rPr>
          <w:rFonts w:ascii="Times New Roman"/>
          <w:b w:val="false"/>
          <w:i w:val="false"/>
          <w:color w:val="000000"/>
          <w:sz w:val="28"/>
        </w:rPr>
        <w:t>
</w:t>
      </w:r>
      <w:r>
        <w:rPr>
          <w:rFonts w:ascii="Times New Roman"/>
          <w:b w:val="false"/>
          <w:i w:val="false"/>
          <w:color w:val="000000"/>
          <w:sz w:val="28"/>
        </w:rPr>
        <w:t>
      В графе 31 "Стоимость (в валюте контракта (договора))" указывается стоимость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32 "Цена сделки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"Валюта контракта (договора)" указывается валюта, в которой осуществлялась оплата экспортируемого товара (работы, услуги) по контракту (договору).</w:t>
      </w:r>
      <w:r>
        <w:br/>
      </w:r>
      <w:r>
        <w:rPr>
          <w:rFonts w:ascii="Times New Roman"/>
          <w:b w:val="false"/>
          <w:i w:val="false"/>
          <w:color w:val="000000"/>
          <w:sz w:val="28"/>
        </w:rPr>
        <w:t>
</w:t>
      </w:r>
      <w:r>
        <w:rPr>
          <w:rFonts w:ascii="Times New Roman"/>
          <w:b w:val="false"/>
          <w:i w:val="false"/>
          <w:color w:val="000000"/>
          <w:sz w:val="28"/>
        </w:rPr>
        <w:t>
      В графе 34 "Курс тенге" указывается рыночный курс тенге к валюте контракта (договора) на дату принятия декларации на товары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35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36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37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38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39 "Дифференциал" указываются сведения, подтвержденные документально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40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41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42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43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44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45 "Прогноз цен на товары (работы, услуги) на экспортных рынках" указывается прогноз цен на экспортируемые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46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47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48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49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Информация, указанная в графах 9, 10, 13-15, 35, 36, 41-49, представляется в электронном виде с подтверждением на бумажном носителе в виде приложения к отчетности по мониторингу сделок "Экспорт товаров (работ, услуг)"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указанная в графах 10, 35, 36, 41-49, предоставляется в электронном виде с подтверждением на бумажных носителях в виде приложения к настоящей форме отчетности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Отчетность по мониторингу сделок "Импорт товаров (работ, услуг)" по форме согласно приложению 2 к настоящим Правилам"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налогоплательщика-получателя. Графа подлежит обязательному заполнению при представлении отчетности до 1 января 2012 года.</w:t>
      </w:r>
      <w:r>
        <w:br/>
      </w:r>
      <w:r>
        <w:rPr>
          <w:rFonts w:ascii="Times New Roman"/>
          <w:b w:val="false"/>
          <w:i w:val="false"/>
          <w:color w:val="000000"/>
          <w:sz w:val="28"/>
        </w:rPr>
        <w:t>
</w:t>
      </w:r>
      <w:r>
        <w:rPr>
          <w:rFonts w:ascii="Times New Roman"/>
          <w:b w:val="false"/>
          <w:i w:val="false"/>
          <w:color w:val="000000"/>
          <w:sz w:val="28"/>
        </w:rPr>
        <w:t>
      В графе 2-1 "ИИН (БИН)" указывается индивидуальный идентификационный номер (бизнес идентификационный номер) налогоплательщика–получателя. Графа подлежит обязательному заполнению при представлении отчетности с 1 января 2012 года.</w:t>
      </w:r>
      <w:r>
        <w:br/>
      </w:r>
      <w:r>
        <w:rPr>
          <w:rFonts w:ascii="Times New Roman"/>
          <w:b w:val="false"/>
          <w:i w:val="false"/>
          <w:color w:val="000000"/>
          <w:sz w:val="28"/>
        </w:rPr>
        <w:t>
</w:t>
      </w:r>
      <w:r>
        <w:rPr>
          <w:rFonts w:ascii="Times New Roman"/>
          <w:b w:val="false"/>
          <w:i w:val="false"/>
          <w:color w:val="000000"/>
          <w:sz w:val="28"/>
        </w:rPr>
        <w:t>
      В графе 3 "Наименование покупателя (импортера)" указывается полное наименование юридического лица (импортера)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4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5 и 6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В графе 7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8 "Наименование товара (работы, услуги)" отражается наименование импортируемых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9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10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11 "Страна отправления товара" указывается страна, из которой импортируется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12 "Вид транспортировки" указываются виды транспортов (железнодорожный, воздушный и другие), используемых для импорта товара.</w:t>
      </w:r>
      <w:r>
        <w:br/>
      </w:r>
      <w:r>
        <w:rPr>
          <w:rFonts w:ascii="Times New Roman"/>
          <w:b w:val="false"/>
          <w:i w:val="false"/>
          <w:color w:val="000000"/>
          <w:sz w:val="28"/>
        </w:rPr>
        <w:t>
</w:t>
      </w:r>
      <w:r>
        <w:rPr>
          <w:rFonts w:ascii="Times New Roman"/>
          <w:b w:val="false"/>
          <w:i w:val="false"/>
          <w:color w:val="000000"/>
          <w:sz w:val="28"/>
        </w:rPr>
        <w:t>
      В графе 13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14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"Условия поставки товара (работы, услуги)" указываются условия поставки товара (работы, услуги) согласно Инкотермс 2000.</w:t>
      </w:r>
      <w:r>
        <w:br/>
      </w:r>
      <w:r>
        <w:rPr>
          <w:rFonts w:ascii="Times New Roman"/>
          <w:b w:val="false"/>
          <w:i w:val="false"/>
          <w:color w:val="000000"/>
          <w:sz w:val="28"/>
        </w:rPr>
        <w:t>
</w:t>
      </w:r>
      <w:r>
        <w:rPr>
          <w:rFonts w:ascii="Times New Roman"/>
          <w:b w:val="false"/>
          <w:i w:val="false"/>
          <w:color w:val="000000"/>
          <w:sz w:val="28"/>
        </w:rPr>
        <w:t>
      В графах 17 и 18 "Дата и место отгрузки товара (работы, услуги)" указывается дата и место отгрузки товара (работы, услуги).</w:t>
      </w:r>
      <w:r>
        <w:br/>
      </w:r>
      <w:r>
        <w:rPr>
          <w:rFonts w:ascii="Times New Roman"/>
          <w:b w:val="false"/>
          <w:i w:val="false"/>
          <w:color w:val="000000"/>
          <w:sz w:val="28"/>
        </w:rPr>
        <w:t>
</w:t>
      </w:r>
      <w:r>
        <w:rPr>
          <w:rFonts w:ascii="Times New Roman"/>
          <w:b w:val="false"/>
          <w:i w:val="false"/>
          <w:color w:val="000000"/>
          <w:sz w:val="28"/>
        </w:rPr>
        <w:t>
      В графе 19 "Страна отправления товара (работы, услуги)" указывается страна отправления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20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21 и 22 "Наименование отправителя" и "Юридический адрес отправителя" указывается фамилия, имя, отчество физического лица или наименование юридического лица-отправителя товара (работы, услуги) и юридический адрес отправителя.</w:t>
      </w:r>
      <w:r>
        <w:br/>
      </w:r>
      <w:r>
        <w:rPr>
          <w:rFonts w:ascii="Times New Roman"/>
          <w:b w:val="false"/>
          <w:i w:val="false"/>
          <w:color w:val="000000"/>
          <w:sz w:val="28"/>
        </w:rPr>
        <w:t>
</w:t>
      </w:r>
      <w:r>
        <w:rPr>
          <w:rFonts w:ascii="Times New Roman"/>
          <w:b w:val="false"/>
          <w:i w:val="false"/>
          <w:color w:val="000000"/>
          <w:sz w:val="28"/>
        </w:rPr>
        <w:t>
      В графе 23 "Страна регистрации отправителя" указывается страна регистрации отправителя.</w:t>
      </w:r>
      <w:r>
        <w:br/>
      </w:r>
      <w:r>
        <w:rPr>
          <w:rFonts w:ascii="Times New Roman"/>
          <w:b w:val="false"/>
          <w:i w:val="false"/>
          <w:color w:val="000000"/>
          <w:sz w:val="28"/>
        </w:rPr>
        <w:t>
</w:t>
      </w:r>
      <w:r>
        <w:rPr>
          <w:rFonts w:ascii="Times New Roman"/>
          <w:b w:val="false"/>
          <w:i w:val="false"/>
          <w:color w:val="000000"/>
          <w:sz w:val="28"/>
        </w:rPr>
        <w:t>
      В графе 24 "Торгующая страна" проставляется цифровой код торгующей страны товара (работы, услуги) в соответствии с Классификатором стран мира, утвержденным Решением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25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26 и 27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28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29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30 "Объем реализации товара" указывается объем фактически произведенного импорта товара в единицах измерения, указанных в графе 29.</w:t>
      </w:r>
      <w:r>
        <w:br/>
      </w:r>
      <w:r>
        <w:rPr>
          <w:rFonts w:ascii="Times New Roman"/>
          <w:b w:val="false"/>
          <w:i w:val="false"/>
          <w:color w:val="000000"/>
          <w:sz w:val="28"/>
        </w:rPr>
        <w:t>
</w:t>
      </w:r>
      <w:r>
        <w:rPr>
          <w:rFonts w:ascii="Times New Roman"/>
          <w:b w:val="false"/>
          <w:i w:val="false"/>
          <w:color w:val="000000"/>
          <w:sz w:val="28"/>
        </w:rPr>
        <w:t>
      В графе 31 "Стоимость (в валюте контракта)" указывается стоимость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32 "Цена сделки (приобретения)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"Валюта контракта (договора)" указывается валюта, в которой осуществлялась оплата импортируемого товара (работы, услуги) по контракту (договора).</w:t>
      </w:r>
      <w:r>
        <w:br/>
      </w:r>
      <w:r>
        <w:rPr>
          <w:rFonts w:ascii="Times New Roman"/>
          <w:b w:val="false"/>
          <w:i w:val="false"/>
          <w:color w:val="000000"/>
          <w:sz w:val="28"/>
        </w:rPr>
        <w:t>
</w:t>
      </w:r>
      <w:r>
        <w:rPr>
          <w:rFonts w:ascii="Times New Roman"/>
          <w:b w:val="false"/>
          <w:i w:val="false"/>
          <w:color w:val="000000"/>
          <w:sz w:val="28"/>
        </w:rPr>
        <w:t>
      В графе 34 "Курс тенге" указывается рыночный курс тенге к валюте контракта (договора) на дату принятия декларации на товары к таможенному оформлению.</w:t>
      </w:r>
      <w:r>
        <w:br/>
      </w:r>
      <w:r>
        <w:rPr>
          <w:rFonts w:ascii="Times New Roman"/>
          <w:b w:val="false"/>
          <w:i w:val="false"/>
          <w:color w:val="000000"/>
          <w:sz w:val="28"/>
        </w:rPr>
        <w:t>
</w:t>
      </w:r>
      <w:r>
        <w:rPr>
          <w:rFonts w:ascii="Times New Roman"/>
          <w:b w:val="false"/>
          <w:i w:val="false"/>
          <w:color w:val="000000"/>
          <w:sz w:val="28"/>
        </w:rPr>
        <w:t>
      В графе 35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36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37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38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39 "Дифференциал" указываются сведения, подтвержденные документально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40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41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42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43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44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45 "Прогноз цен на товары (работы, услуги)" указывается прогноз цен на импортируемые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46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47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48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49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 Информация, указанная в графах 9, 10, 13-15, 35, 36, 41-49, представляется в электронном виде с подтверждением на бумажном носителе в виде приложения отчетности по мониторингу сделок "Импорт товаров (работ, услуг)" в случае наличия таких условий и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главой 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
      "4. Порядок ведения документации по мониторингу сделок участниками сделок, осуществляющими сделки с товарами, которые подлежат мониторингу сделок и участниками сделок, осуществляющими сделки с товарами, которые не подлежат мониторингу сделок</w:t>
      </w:r>
      <w:r>
        <w:br/>
      </w:r>
      <w:r>
        <w:rPr>
          <w:rFonts w:ascii="Times New Roman"/>
          <w:b w:val="false"/>
          <w:i w:val="false"/>
          <w:color w:val="000000"/>
          <w:sz w:val="28"/>
        </w:rPr>
        <w:t>
</w:t>
      </w:r>
      <w:r>
        <w:rPr>
          <w:rFonts w:ascii="Times New Roman"/>
          <w:b w:val="false"/>
          <w:i w:val="false"/>
          <w:color w:val="000000"/>
          <w:sz w:val="28"/>
        </w:rPr>
        <w:t>
      21. Участники сделок, в том числе осуществляющие сделки с товарами, которые не подлежат мониторингу сделок в соответствии с </w:t>
      </w:r>
      <w:r>
        <w:rPr>
          <w:rFonts w:ascii="Times New Roman"/>
          <w:b w:val="false"/>
          <w:i w:val="false"/>
          <w:color w:val="000000"/>
          <w:sz w:val="28"/>
        </w:rPr>
        <w:t>Законом</w:t>
      </w:r>
      <w:r>
        <w:rPr>
          <w:rFonts w:ascii="Times New Roman"/>
          <w:b w:val="false"/>
          <w:i w:val="false"/>
          <w:color w:val="000000"/>
          <w:sz w:val="28"/>
        </w:rPr>
        <w:t>, ведут документацию, подтверждающую обоснованность применяемой цены, и по запросу уполномоченных органов представляют ее в уполномоченные органы.</w:t>
      </w:r>
      <w:r>
        <w:br/>
      </w:r>
      <w:r>
        <w:rPr>
          <w:rFonts w:ascii="Times New Roman"/>
          <w:b w:val="false"/>
          <w:i w:val="false"/>
          <w:color w:val="000000"/>
          <w:sz w:val="28"/>
        </w:rPr>
        <w:t>
</w:t>
      </w:r>
      <w:r>
        <w:rPr>
          <w:rFonts w:ascii="Times New Roman"/>
          <w:b w:val="false"/>
          <w:i w:val="false"/>
          <w:color w:val="000000"/>
          <w:sz w:val="28"/>
        </w:rPr>
        <w:t>
      22. В обоснование применяемых цен в международных деловых операциях участники сделок ведут следующую документацию, но не ограничиваются нижеуказанной документацией:</w:t>
      </w:r>
      <w:r>
        <w:br/>
      </w:r>
      <w:r>
        <w:rPr>
          <w:rFonts w:ascii="Times New Roman"/>
          <w:b w:val="false"/>
          <w:i w:val="false"/>
          <w:color w:val="000000"/>
          <w:sz w:val="28"/>
        </w:rPr>
        <w:t>
</w:t>
      </w:r>
      <w:r>
        <w:rPr>
          <w:rFonts w:ascii="Times New Roman"/>
          <w:b w:val="false"/>
          <w:i w:val="false"/>
          <w:color w:val="000000"/>
          <w:sz w:val="28"/>
        </w:rPr>
        <w:t>
      контракты (договоры) по реализации товаров (с дополнениями и изменениями);</w:t>
      </w:r>
      <w:r>
        <w:br/>
      </w:r>
      <w:r>
        <w:rPr>
          <w:rFonts w:ascii="Times New Roman"/>
          <w:b w:val="false"/>
          <w:i w:val="false"/>
          <w:color w:val="000000"/>
          <w:sz w:val="28"/>
        </w:rPr>
        <w:t>
</w:t>
      </w:r>
      <w:r>
        <w:rPr>
          <w:rFonts w:ascii="Times New Roman"/>
          <w:b w:val="false"/>
          <w:i w:val="false"/>
          <w:color w:val="000000"/>
          <w:sz w:val="28"/>
        </w:rPr>
        <w:t>
      сведения об инвестициях (долях, акциях) в компаниях Республики Казахстан и зарубежных стран;</w:t>
      </w:r>
      <w:r>
        <w:br/>
      </w:r>
      <w:r>
        <w:rPr>
          <w:rFonts w:ascii="Times New Roman"/>
          <w:b w:val="false"/>
          <w:i w:val="false"/>
          <w:color w:val="000000"/>
          <w:sz w:val="28"/>
        </w:rPr>
        <w:t>
</w:t>
      </w:r>
      <w:r>
        <w:rPr>
          <w:rFonts w:ascii="Times New Roman"/>
          <w:b w:val="false"/>
          <w:i w:val="false"/>
          <w:color w:val="000000"/>
          <w:sz w:val="28"/>
        </w:rPr>
        <w:t>
      декларации по корпоративному подоходному налогу (с приложениями);</w:t>
      </w:r>
      <w:r>
        <w:br/>
      </w:r>
      <w:r>
        <w:rPr>
          <w:rFonts w:ascii="Times New Roman"/>
          <w:b w:val="false"/>
          <w:i w:val="false"/>
          <w:color w:val="000000"/>
          <w:sz w:val="28"/>
        </w:rPr>
        <w:t>
</w:t>
      </w:r>
      <w:r>
        <w:rPr>
          <w:rFonts w:ascii="Times New Roman"/>
          <w:b w:val="false"/>
          <w:i w:val="false"/>
          <w:color w:val="000000"/>
          <w:sz w:val="28"/>
        </w:rPr>
        <w:t>
      счета-фактуры (инвойсы), акты приема-передачи товаров;</w:t>
      </w:r>
      <w:r>
        <w:br/>
      </w:r>
      <w:r>
        <w:rPr>
          <w:rFonts w:ascii="Times New Roman"/>
          <w:b w:val="false"/>
          <w:i w:val="false"/>
          <w:color w:val="000000"/>
          <w:sz w:val="28"/>
        </w:rPr>
        <w:t>
</w:t>
      </w:r>
      <w:r>
        <w:rPr>
          <w:rFonts w:ascii="Times New Roman"/>
          <w:b w:val="false"/>
          <w:i w:val="false"/>
          <w:color w:val="000000"/>
          <w:sz w:val="28"/>
        </w:rPr>
        <w:t>
      выписки из банка по поступлениям от экспорта товаров;</w:t>
      </w:r>
      <w:r>
        <w:br/>
      </w:r>
      <w:r>
        <w:rPr>
          <w:rFonts w:ascii="Times New Roman"/>
          <w:b w:val="false"/>
          <w:i w:val="false"/>
          <w:color w:val="000000"/>
          <w:sz w:val="28"/>
        </w:rPr>
        <w:t>
</w:t>
      </w:r>
      <w:r>
        <w:rPr>
          <w:rFonts w:ascii="Times New Roman"/>
          <w:b w:val="false"/>
          <w:i w:val="false"/>
          <w:color w:val="000000"/>
          <w:sz w:val="28"/>
        </w:rPr>
        <w:t>
      декларации на товары (с оборотными сторонами);</w:t>
      </w:r>
      <w:r>
        <w:br/>
      </w:r>
      <w:r>
        <w:rPr>
          <w:rFonts w:ascii="Times New Roman"/>
          <w:b w:val="false"/>
          <w:i w:val="false"/>
          <w:color w:val="000000"/>
          <w:sz w:val="28"/>
        </w:rPr>
        <w:t>
</w:t>
      </w:r>
      <w:r>
        <w:rPr>
          <w:rFonts w:ascii="Times New Roman"/>
          <w:b w:val="false"/>
          <w:i w:val="false"/>
          <w:color w:val="000000"/>
          <w:sz w:val="28"/>
        </w:rPr>
        <w:t>
      паспорта сделок;</w:t>
      </w:r>
      <w:r>
        <w:br/>
      </w:r>
      <w:r>
        <w:rPr>
          <w:rFonts w:ascii="Times New Roman"/>
          <w:b w:val="false"/>
          <w:i w:val="false"/>
          <w:color w:val="000000"/>
          <w:sz w:val="28"/>
        </w:rPr>
        <w:t>
</w:t>
      </w:r>
      <w:r>
        <w:rPr>
          <w:rFonts w:ascii="Times New Roman"/>
          <w:b w:val="false"/>
          <w:i w:val="false"/>
          <w:color w:val="000000"/>
          <w:sz w:val="28"/>
        </w:rPr>
        <w:t>
      сертификаты качества товаров;</w:t>
      </w:r>
      <w:r>
        <w:br/>
      </w:r>
      <w:r>
        <w:rPr>
          <w:rFonts w:ascii="Times New Roman"/>
          <w:b w:val="false"/>
          <w:i w:val="false"/>
          <w:color w:val="000000"/>
          <w:sz w:val="28"/>
        </w:rPr>
        <w:t>
</w:t>
      </w:r>
      <w:r>
        <w:rPr>
          <w:rFonts w:ascii="Times New Roman"/>
          <w:b w:val="false"/>
          <w:i w:val="false"/>
          <w:color w:val="000000"/>
          <w:sz w:val="28"/>
        </w:rPr>
        <w:t>
      сертификаты происхождения товаров;</w:t>
      </w:r>
      <w:r>
        <w:br/>
      </w:r>
      <w:r>
        <w:rPr>
          <w:rFonts w:ascii="Times New Roman"/>
          <w:b w:val="false"/>
          <w:i w:val="false"/>
          <w:color w:val="000000"/>
          <w:sz w:val="28"/>
        </w:rPr>
        <w:t>
      источники информации, используемые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информация о методе, применяемом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Министр                                    Б. Жамишев</w:t>
      </w:r>
    </w:p>
    <w:bookmarkStart w:name="z14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2011 года № 299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мониторинга сделок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мониторингу сделок "Экспорт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09"/>
        <w:gridCol w:w="807"/>
        <w:gridCol w:w="2240"/>
        <w:gridCol w:w="1689"/>
        <w:gridCol w:w="2042"/>
        <w:gridCol w:w="2042"/>
        <w:gridCol w:w="1116"/>
        <w:gridCol w:w="2176"/>
      </w:tblGrid>
      <w:tr>
        <w:trPr>
          <w:trHeight w:val="8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отправи</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(экспор</w:t>
            </w:r>
            <w:r>
              <w:rPr>
                <w:rFonts w:ascii="Times New Roman"/>
                <w:b w:val="false"/>
                <w:i w:val="false"/>
                <w:color w:val="000000"/>
                <w:sz w:val="20"/>
              </w:rPr>
              <w:t>тера)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rPr>
                <w:rFonts w:ascii="Times New Roman"/>
                <w:b w:val="false"/>
                <w:i w:val="false"/>
                <w:color w:val="000000"/>
                <w:sz w:val="20"/>
              </w:rPr>
              <w:t>говый</w:t>
            </w:r>
            <w:r>
              <w:br/>
            </w:r>
            <w:r>
              <w:rPr>
                <w:rFonts w:ascii="Times New Roman"/>
                <w:b w:val="false"/>
                <w:i w:val="false"/>
                <w:color w:val="000000"/>
                <w:sz w:val="20"/>
              </w:rPr>
              <w:t>
</w:t>
            </w:r>
            <w:r>
              <w:rPr>
                <w:rFonts w:ascii="Times New Roman"/>
                <w:b w:val="false"/>
                <w:i w:val="false"/>
                <w:color w:val="000000"/>
                <w:sz w:val="20"/>
              </w:rPr>
              <w:t>период</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деклара</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(Заявле</w:t>
            </w:r>
            <w:r>
              <w:rPr>
                <w:rFonts w:ascii="Times New Roman"/>
                <w:b w:val="false"/>
                <w:i w:val="false"/>
                <w:color w:val="000000"/>
                <w:sz w:val="20"/>
              </w:rPr>
              <w:t>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деклара</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(Заявле</w:t>
            </w:r>
            <w:r>
              <w:rPr>
                <w:rFonts w:ascii="Times New Roman"/>
                <w:b w:val="false"/>
                <w:i w:val="false"/>
                <w:color w:val="000000"/>
                <w:sz w:val="20"/>
              </w:rPr>
              <w:t>ния)</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13"/>
        <w:gridCol w:w="2653"/>
        <w:gridCol w:w="2473"/>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Репутация на</w:t>
            </w:r>
            <w:r>
              <w:br/>
            </w:r>
            <w:r>
              <w:rPr>
                <w:rFonts w:ascii="Times New Roman"/>
                <w:b w:val="false"/>
                <w:i w:val="false"/>
                <w:color w:val="000000"/>
                <w:sz w:val="20"/>
              </w:rPr>
              <w:t>
</w:t>
            </w:r>
            <w:r>
              <w:rPr>
                <w:rFonts w:ascii="Times New Roman"/>
                <w:b w:val="false"/>
                <w:i w:val="false"/>
                <w:color w:val="000000"/>
                <w:sz w:val="20"/>
              </w:rPr>
              <w:t>рынке товаров</w:t>
            </w:r>
            <w:r>
              <w:br/>
            </w:r>
            <w:r>
              <w:rPr>
                <w:rFonts w:ascii="Times New Roman"/>
                <w:b w:val="false"/>
                <w:i w:val="false"/>
                <w:color w:val="000000"/>
                <w:sz w:val="20"/>
              </w:rPr>
              <w:t>
</w:t>
            </w:r>
            <w:r>
              <w:rPr>
                <w:rFonts w:ascii="Times New Roman"/>
                <w:b w:val="false"/>
                <w:i w:val="false"/>
                <w:color w:val="000000"/>
                <w:sz w:val="20"/>
              </w:rPr>
              <w:t>(работ, услуг)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транспортировки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1928"/>
        <w:gridCol w:w="1842"/>
        <w:gridCol w:w="1606"/>
        <w:gridCol w:w="2703"/>
        <w:gridCol w:w="2015"/>
      </w:tblGrid>
      <w:tr>
        <w:trPr>
          <w:trHeight w:val="175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rPr>
                <w:rFonts w:ascii="Times New Roman"/>
                <w:b w:val="false"/>
                <w:i w:val="false"/>
                <w:color w:val="000000"/>
                <w:sz w:val="20"/>
              </w:rPr>
              <w:t>води</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услуги)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ИНКО</w:t>
            </w:r>
            <w:r>
              <w:rPr>
                <w:rFonts w:ascii="Times New Roman"/>
                <w:b w:val="false"/>
                <w:i w:val="false"/>
                <w:color w:val="000000"/>
                <w:sz w:val="20"/>
              </w:rPr>
              <w:t>ТЕРМС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услуги)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rPr>
                <w:rFonts w:ascii="Times New Roman"/>
                <w:b w:val="false"/>
                <w:i w:val="false"/>
                <w:color w:val="000000"/>
                <w:sz w:val="20"/>
              </w:rPr>
              <w:t>отгруз</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товара (работы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услуги)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033"/>
        <w:gridCol w:w="1993"/>
        <w:gridCol w:w="1973"/>
        <w:gridCol w:w="1553"/>
        <w:gridCol w:w="321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поку</w:t>
            </w:r>
            <w:r>
              <w:rPr>
                <w:rFonts w:ascii="Times New Roman"/>
                <w:b w:val="false"/>
                <w:i w:val="false"/>
                <w:color w:val="000000"/>
                <w:sz w:val="20"/>
              </w:rPr>
              <w:t>пателя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покупа</w:t>
            </w:r>
            <w:r>
              <w:rPr>
                <w:rFonts w:ascii="Times New Roman"/>
                <w:b w:val="false"/>
                <w:i w:val="false"/>
                <w:color w:val="000000"/>
                <w:sz w:val="20"/>
              </w:rPr>
              <w:t>теля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w:t>
            </w:r>
            <w:r>
              <w:rPr>
                <w:rFonts w:ascii="Times New Roman"/>
                <w:b w:val="false"/>
                <w:i w:val="false"/>
                <w:color w:val="000000"/>
                <w:sz w:val="20"/>
              </w:rPr>
              <w:t>трации</w:t>
            </w:r>
            <w:r>
              <w:br/>
            </w:r>
            <w:r>
              <w:rPr>
                <w:rFonts w:ascii="Times New Roman"/>
                <w:b w:val="false"/>
                <w:i w:val="false"/>
                <w:color w:val="000000"/>
                <w:sz w:val="20"/>
              </w:rPr>
              <w:t>
</w:t>
            </w:r>
            <w:r>
              <w:rPr>
                <w:rFonts w:ascii="Times New Roman"/>
                <w:b w:val="false"/>
                <w:i w:val="false"/>
                <w:color w:val="000000"/>
                <w:sz w:val="20"/>
              </w:rPr>
              <w:t>покупа</w:t>
            </w:r>
            <w:r>
              <w:rPr>
                <w:rFonts w:ascii="Times New Roman"/>
                <w:b w:val="false"/>
                <w:i w:val="false"/>
                <w:color w:val="000000"/>
                <w:sz w:val="20"/>
              </w:rPr>
              <w:t>теля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w:t>
            </w:r>
            <w:r>
              <w:rPr>
                <w:rFonts w:ascii="Times New Roman"/>
                <w:b w:val="false"/>
                <w:i w:val="false"/>
                <w:color w:val="000000"/>
                <w:sz w:val="20"/>
              </w:rPr>
              <w:t>ющая</w:t>
            </w:r>
            <w:r>
              <w:br/>
            </w:r>
            <w:r>
              <w:rPr>
                <w:rFonts w:ascii="Times New Roman"/>
                <w:b w:val="false"/>
                <w:i w:val="false"/>
                <w:color w:val="000000"/>
                <w:sz w:val="20"/>
              </w:rPr>
              <w:t>
</w:t>
            </w:r>
            <w:r>
              <w:rPr>
                <w:rFonts w:ascii="Times New Roman"/>
                <w:b w:val="false"/>
                <w:i w:val="false"/>
                <w:color w:val="000000"/>
                <w:sz w:val="20"/>
              </w:rPr>
              <w:t>страна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w:t>
            </w:r>
            <w:r>
              <w:br/>
            </w:r>
            <w:r>
              <w:rPr>
                <w:rFonts w:ascii="Times New Roman"/>
                <w:b w:val="false"/>
                <w:i w:val="false"/>
                <w:color w:val="000000"/>
                <w:sz w:val="20"/>
              </w:rPr>
              <w:t>
</w:t>
            </w:r>
            <w:r>
              <w:rPr>
                <w:rFonts w:ascii="Times New Roman"/>
                <w:b w:val="false"/>
                <w:i w:val="false"/>
                <w:color w:val="000000"/>
                <w:sz w:val="20"/>
              </w:rPr>
              <w:t>взаимосвязанности</w:t>
            </w:r>
            <w:r>
              <w:br/>
            </w:r>
            <w:r>
              <w:rPr>
                <w:rFonts w:ascii="Times New Roman"/>
                <w:b w:val="false"/>
                <w:i w:val="false"/>
                <w:color w:val="000000"/>
                <w:sz w:val="20"/>
              </w:rPr>
              <w:t>
</w:t>
            </w:r>
            <w:r>
              <w:rPr>
                <w:rFonts w:ascii="Times New Roman"/>
                <w:b w:val="false"/>
                <w:i w:val="false"/>
                <w:color w:val="000000"/>
                <w:sz w:val="20"/>
              </w:rPr>
              <w:t>сторон (продавца</w:t>
            </w:r>
            <w:r>
              <w:br/>
            </w:r>
            <w:r>
              <w:rPr>
                <w:rFonts w:ascii="Times New Roman"/>
                <w:b w:val="false"/>
                <w:i w:val="false"/>
                <w:color w:val="000000"/>
                <w:sz w:val="20"/>
              </w:rPr>
              <w:t>
</w:t>
            </w:r>
            <w:r>
              <w:rPr>
                <w:rFonts w:ascii="Times New Roman"/>
                <w:b w:val="false"/>
                <w:i w:val="false"/>
                <w:color w:val="000000"/>
                <w:sz w:val="20"/>
              </w:rPr>
              <w:t>и покупателя)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2096"/>
        <w:gridCol w:w="1559"/>
        <w:gridCol w:w="1839"/>
        <w:gridCol w:w="1796"/>
        <w:gridCol w:w="1817"/>
        <w:gridCol w:w="2270"/>
      </w:tblGrid>
      <w:tr>
        <w:trPr>
          <w:trHeight w:val="114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конт</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 счета-</w:t>
            </w:r>
            <w:r>
              <w:br/>
            </w:r>
            <w:r>
              <w:rPr>
                <w:rFonts w:ascii="Times New Roman"/>
                <w:b w:val="false"/>
                <w:i w:val="false"/>
                <w:color w:val="000000"/>
                <w:sz w:val="20"/>
              </w:rPr>
              <w:t>
</w:t>
            </w:r>
            <w:r>
              <w:rPr>
                <w:rFonts w:ascii="Times New Roman"/>
                <w:b w:val="false"/>
                <w:i w:val="false"/>
                <w:color w:val="000000"/>
                <w:sz w:val="20"/>
              </w:rPr>
              <w:t>фактуры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товара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товара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сделки</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27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30"/>
        <w:gridCol w:w="2629"/>
        <w:gridCol w:w="2111"/>
        <w:gridCol w:w="2306"/>
        <w:gridCol w:w="1851"/>
        <w:gridCol w:w="1680"/>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трансфер</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ценообра</w:t>
            </w:r>
            <w:r>
              <w:rPr>
                <w:rFonts w:ascii="Times New Roman"/>
                <w:b w:val="false"/>
                <w:i w:val="false"/>
                <w:color w:val="000000"/>
                <w:sz w:val="20"/>
              </w:rPr>
              <w:t>зования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 xml:space="preserve">влияющие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установ</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 xml:space="preserve">цены </w:t>
            </w:r>
            <w:r>
              <w:rPr>
                <w:rFonts w:ascii="Times New Roman"/>
                <w:b w:val="false"/>
                <w:i w:val="false"/>
                <w:color w:val="000000"/>
                <w:sz w:val="20"/>
              </w:rPr>
              <w:t>сделки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применя</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определе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 xml:space="preserve">рыночной </w:t>
            </w:r>
            <w:r>
              <w:rPr>
                <w:rFonts w:ascii="Times New Roman"/>
                <w:b w:val="false"/>
                <w:i w:val="false"/>
                <w:color w:val="000000"/>
                <w:sz w:val="20"/>
              </w:rPr>
              <w:t>цены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rPr>
                <w:rFonts w:ascii="Times New Roman"/>
                <w:b w:val="false"/>
                <w:i w:val="false"/>
                <w:color w:val="000000"/>
                <w:sz w:val="20"/>
              </w:rPr>
              <w:t>мации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w:t>
            </w:r>
            <w:r>
              <w:rPr>
                <w:rFonts w:ascii="Times New Roman"/>
                <w:b w:val="false"/>
                <w:i w:val="false"/>
                <w:color w:val="000000"/>
                <w:sz w:val="20"/>
              </w:rPr>
              <w:t>ферен-</w:t>
            </w:r>
            <w:r>
              <w:br/>
            </w:r>
            <w:r>
              <w:rPr>
                <w:rFonts w:ascii="Times New Roman"/>
                <w:b w:val="false"/>
                <w:i w:val="false"/>
                <w:color w:val="000000"/>
                <w:sz w:val="20"/>
              </w:rPr>
              <w:t>
</w:t>
            </w:r>
            <w:r>
              <w:rPr>
                <w:rFonts w:ascii="Times New Roman"/>
                <w:b w:val="false"/>
                <w:i w:val="false"/>
                <w:color w:val="000000"/>
                <w:sz w:val="20"/>
              </w:rPr>
              <w:t>циал</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3630"/>
        <w:gridCol w:w="1578"/>
        <w:gridCol w:w="3144"/>
        <w:gridCol w:w="3377"/>
      </w:tblGrid>
      <w:tr>
        <w:trPr>
          <w:trHeight w:val="160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w:t>
            </w:r>
            <w:r>
              <w:rPr>
                <w:rFonts w:ascii="Times New Roman"/>
                <w:b w:val="false"/>
                <w:i w:val="false"/>
                <w:color w:val="000000"/>
                <w:sz w:val="20"/>
              </w:rPr>
              <w:t>чная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това</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(ра</w:t>
            </w:r>
            <w:r>
              <w:rPr>
                <w:rFonts w:ascii="Times New Roman"/>
                <w:b w:val="false"/>
                <w:i w:val="false"/>
                <w:color w:val="000000"/>
                <w:sz w:val="20"/>
              </w:rPr>
              <w:t>боты,</w:t>
            </w:r>
            <w:r>
              <w:br/>
            </w:r>
            <w:r>
              <w:rPr>
                <w:rFonts w:ascii="Times New Roman"/>
                <w:b w:val="false"/>
                <w:i w:val="false"/>
                <w:color w:val="000000"/>
                <w:sz w:val="20"/>
              </w:rPr>
              <w:t>
</w:t>
            </w:r>
            <w:r>
              <w:rPr>
                <w:rFonts w:ascii="Times New Roman"/>
                <w:b w:val="false"/>
                <w:i w:val="false"/>
                <w:color w:val="000000"/>
                <w:sz w:val="20"/>
              </w:rPr>
              <w:t>услу</w:t>
            </w:r>
            <w:r>
              <w:rPr>
                <w:rFonts w:ascii="Times New Roman"/>
                <w:b w:val="false"/>
                <w:i w:val="false"/>
                <w:color w:val="000000"/>
                <w:sz w:val="20"/>
              </w:rPr>
              <w:t>ги)</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предпри</w:t>
            </w:r>
            <w:r>
              <w:rPr>
                <w:rFonts w:ascii="Times New Roman"/>
                <w:b w:val="false"/>
                <w:i w:val="false"/>
                <w:color w:val="000000"/>
                <w:sz w:val="20"/>
              </w:rPr>
              <w:t>нима</w:t>
            </w:r>
            <w:r>
              <w:rPr>
                <w:rFonts w:ascii="Times New Roman"/>
                <w:b w:val="false"/>
                <w:i w:val="false"/>
                <w:color w:val="000000"/>
                <w:sz w:val="20"/>
              </w:rPr>
              <w:t>тельской</w:t>
            </w:r>
            <w:r>
              <w:br/>
            </w:r>
            <w:r>
              <w:rPr>
                <w:rFonts w:ascii="Times New Roman"/>
                <w:b w:val="false"/>
                <w:i w:val="false"/>
                <w:color w:val="000000"/>
                <w:sz w:val="20"/>
              </w:rPr>
              <w:t>
</w:t>
            </w:r>
            <w:r>
              <w:rPr>
                <w:rFonts w:ascii="Times New Roman"/>
                <w:b w:val="false"/>
                <w:i w:val="false"/>
                <w:color w:val="000000"/>
                <w:sz w:val="20"/>
              </w:rPr>
              <w:t>деятель</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участ</w:t>
            </w:r>
            <w:r>
              <w:rPr>
                <w:rFonts w:ascii="Times New Roman"/>
                <w:b w:val="false"/>
                <w:i w:val="false"/>
                <w:color w:val="000000"/>
                <w:sz w:val="20"/>
              </w:rPr>
              <w:t xml:space="preserve">ника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(экспор</w:t>
            </w:r>
            <w:r>
              <w:rPr>
                <w:rFonts w:ascii="Times New Roman"/>
                <w:b w:val="false"/>
                <w:i w:val="false"/>
                <w:color w:val="000000"/>
                <w:sz w:val="20"/>
              </w:rPr>
              <w:t xml:space="preserve">тера),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деятель</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 xml:space="preserve">условий </w:t>
            </w:r>
            <w:r>
              <w:rPr>
                <w:rFonts w:ascii="Times New Roman"/>
                <w:b w:val="false"/>
                <w:i w:val="false"/>
                <w:color w:val="000000"/>
                <w:sz w:val="20"/>
              </w:rPr>
              <w:t>рынка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rPr>
                <w:rFonts w:ascii="Times New Roman"/>
                <w:b w:val="false"/>
                <w:i w:val="false"/>
                <w:color w:val="000000"/>
                <w:sz w:val="20"/>
              </w:rPr>
              <w:t>тегия</w:t>
            </w:r>
            <w:r>
              <w:br/>
            </w:r>
            <w:r>
              <w:rPr>
                <w:rFonts w:ascii="Times New Roman"/>
                <w:b w:val="false"/>
                <w:i w:val="false"/>
                <w:color w:val="000000"/>
                <w:sz w:val="20"/>
              </w:rPr>
              <w:t>
</w:t>
            </w:r>
            <w:r>
              <w:rPr>
                <w:rFonts w:ascii="Times New Roman"/>
                <w:b w:val="false"/>
                <w:i w:val="false"/>
                <w:color w:val="000000"/>
                <w:sz w:val="20"/>
              </w:rPr>
              <w:t>биз</w:t>
            </w:r>
            <w:r>
              <w:rPr>
                <w:rFonts w:ascii="Times New Roman"/>
                <w:b w:val="false"/>
                <w:i w:val="false"/>
                <w:color w:val="000000"/>
                <w:sz w:val="20"/>
              </w:rPr>
              <w:t>неса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w:t>
            </w:r>
            <w:r>
              <w:rPr>
                <w:rFonts w:ascii="Times New Roman"/>
                <w:b w:val="false"/>
                <w:i w:val="false"/>
                <w:color w:val="000000"/>
                <w:sz w:val="20"/>
              </w:rPr>
              <w:t>инфор</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обосновы</w:t>
            </w:r>
            <w:r>
              <w:rPr>
                <w:rFonts w:ascii="Times New Roman"/>
                <w:b w:val="false"/>
                <w:i w:val="false"/>
                <w:color w:val="000000"/>
                <w:sz w:val="20"/>
              </w:rPr>
              <w:t>вающая</w:t>
            </w:r>
            <w:r>
              <w:br/>
            </w:r>
            <w:r>
              <w:rPr>
                <w:rFonts w:ascii="Times New Roman"/>
                <w:b w:val="false"/>
                <w:i w:val="false"/>
                <w:color w:val="000000"/>
                <w:sz w:val="20"/>
              </w:rPr>
              <w:t>
</w:t>
            </w:r>
            <w:r>
              <w:rPr>
                <w:rFonts w:ascii="Times New Roman"/>
                <w:b w:val="false"/>
                <w:i w:val="false"/>
                <w:color w:val="000000"/>
                <w:sz w:val="20"/>
              </w:rPr>
              <w:t>правиль</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приме</w:t>
            </w:r>
            <w:r>
              <w:rPr>
                <w:rFonts w:ascii="Times New Roman"/>
                <w:b w:val="false"/>
                <w:i w:val="false"/>
                <w:color w:val="000000"/>
                <w:sz w:val="20"/>
              </w:rPr>
              <w:t xml:space="preserve">нения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 xml:space="preserve">сделки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услуги)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w:t>
            </w:r>
            <w:r>
              <w:rPr>
                <w:rFonts w:ascii="Times New Roman"/>
                <w:b w:val="false"/>
                <w:i w:val="false"/>
                <w:color w:val="000000"/>
                <w:sz w:val="20"/>
              </w:rPr>
              <w:t>инфор</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 xml:space="preserve">влияющая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 xml:space="preserve">величину </w:t>
            </w:r>
            <w:r>
              <w:rPr>
                <w:rFonts w:ascii="Times New Roman"/>
                <w:b w:val="false"/>
                <w:i w:val="false"/>
                <w:color w:val="000000"/>
                <w:sz w:val="20"/>
              </w:rPr>
              <w:t>отклоне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 xml:space="preserve">цены </w:t>
            </w:r>
            <w:r>
              <w:rPr>
                <w:rFonts w:ascii="Times New Roman"/>
                <w:b w:val="false"/>
                <w:i w:val="false"/>
                <w:color w:val="000000"/>
                <w:sz w:val="20"/>
              </w:rPr>
              <w:t xml:space="preserve">сделки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 xml:space="preserve">рыночной </w:t>
            </w:r>
            <w:r>
              <w:rPr>
                <w:rFonts w:ascii="Times New Roman"/>
                <w:b w:val="false"/>
                <w:i w:val="false"/>
                <w:color w:val="000000"/>
                <w:sz w:val="20"/>
              </w:rPr>
              <w:t>цены</w:t>
            </w:r>
          </w:p>
        </w:tc>
      </w:tr>
      <w:tr>
        <w:trPr>
          <w:trHeight w:val="27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13"/>
        <w:gridCol w:w="2453"/>
        <w:gridCol w:w="2533"/>
        <w:gridCol w:w="37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цен</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 на</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рынках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бухгалтерского</w:t>
            </w:r>
            <w:r>
              <w:br/>
            </w:r>
            <w:r>
              <w:rPr>
                <w:rFonts w:ascii="Times New Roman"/>
                <w:b w:val="false"/>
                <w:i w:val="false"/>
                <w:color w:val="000000"/>
                <w:sz w:val="20"/>
              </w:rPr>
              <w:t>
</w:t>
            </w:r>
            <w:r>
              <w:rPr>
                <w:rFonts w:ascii="Times New Roman"/>
                <w:b w:val="false"/>
                <w:i w:val="false"/>
                <w:color w:val="000000"/>
                <w:sz w:val="20"/>
              </w:rPr>
              <w:t>учета,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отчетность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Функциональный</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анализ рисков,</w:t>
            </w:r>
            <w:r>
              <w:br/>
            </w:r>
            <w:r>
              <w:rPr>
                <w:rFonts w:ascii="Times New Roman"/>
                <w:b w:val="false"/>
                <w:i w:val="false"/>
                <w:color w:val="000000"/>
                <w:sz w:val="20"/>
              </w:rPr>
              <w:t>
</w:t>
            </w:r>
            <w:r>
              <w:rPr>
                <w:rFonts w:ascii="Times New Roman"/>
                <w:b w:val="false"/>
                <w:i w:val="false"/>
                <w:color w:val="000000"/>
                <w:sz w:val="20"/>
              </w:rPr>
              <w:t>материальных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комиссионное</w:t>
            </w:r>
            <w:r>
              <w:br/>
            </w:r>
            <w:r>
              <w:rPr>
                <w:rFonts w:ascii="Times New Roman"/>
                <w:b w:val="false"/>
                <w:i w:val="false"/>
                <w:color w:val="000000"/>
                <w:sz w:val="20"/>
              </w:rPr>
              <w:t>
</w:t>
            </w:r>
            <w:r>
              <w:rPr>
                <w:rFonts w:ascii="Times New Roman"/>
                <w:b w:val="false"/>
                <w:i w:val="false"/>
                <w:color w:val="000000"/>
                <w:sz w:val="20"/>
              </w:rPr>
              <w:t>(агентское)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торгового брокера,</w:t>
            </w:r>
            <w:r>
              <w:br/>
            </w:r>
            <w:r>
              <w:rPr>
                <w:rFonts w:ascii="Times New Roman"/>
                <w:b w:val="false"/>
                <w:i w:val="false"/>
                <w:color w:val="000000"/>
                <w:sz w:val="20"/>
              </w:rPr>
              <w:t>
</w:t>
            </w:r>
            <w:r>
              <w:rPr>
                <w:rFonts w:ascii="Times New Roman"/>
                <w:b w:val="false"/>
                <w:i w:val="false"/>
                <w:color w:val="000000"/>
                <w:sz w:val="20"/>
              </w:rPr>
              <w:t>трейдера или агента</w:t>
            </w:r>
            <w:r>
              <w:br/>
            </w:r>
            <w:r>
              <w:rPr>
                <w:rFonts w:ascii="Times New Roman"/>
                <w:b w:val="false"/>
                <w:i w:val="false"/>
                <w:color w:val="000000"/>
                <w:sz w:val="20"/>
              </w:rPr>
              <w:t>
</w:t>
            </w:r>
            <w:r>
              <w:rPr>
                <w:rFonts w:ascii="Times New Roman"/>
                <w:b w:val="false"/>
                <w:i w:val="false"/>
                <w:color w:val="000000"/>
                <w:sz w:val="20"/>
              </w:rPr>
              <w:t>либо компенсации за</w:t>
            </w:r>
            <w:r>
              <w:br/>
            </w:r>
            <w:r>
              <w:rPr>
                <w:rFonts w:ascii="Times New Roman"/>
                <w:b w:val="false"/>
                <w:i w:val="false"/>
                <w:color w:val="000000"/>
                <w:sz w:val="20"/>
              </w:rPr>
              <w:t>
</w:t>
            </w:r>
            <w:r>
              <w:rPr>
                <w:rFonts w:ascii="Times New Roman"/>
                <w:b w:val="false"/>
                <w:i w:val="false"/>
                <w:color w:val="000000"/>
                <w:sz w:val="20"/>
              </w:rPr>
              <w:t>выполнение ими</w:t>
            </w:r>
            <w:r>
              <w:br/>
            </w:r>
            <w:r>
              <w:rPr>
                <w:rFonts w:ascii="Times New Roman"/>
                <w:b w:val="false"/>
                <w:i w:val="false"/>
                <w:color w:val="000000"/>
                <w:sz w:val="20"/>
              </w:rPr>
              <w:t>
</w:t>
            </w:r>
            <w:r>
              <w:rPr>
                <w:rFonts w:ascii="Times New Roman"/>
                <w:b w:val="false"/>
                <w:i w:val="false"/>
                <w:color w:val="000000"/>
                <w:sz w:val="20"/>
              </w:rPr>
              <w:t>торгово-посреднических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2011 года № 299 </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мониторинга сделок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Отчетность по мониторингу сделок "Импорт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45"/>
        <w:gridCol w:w="856"/>
        <w:gridCol w:w="2052"/>
        <w:gridCol w:w="1764"/>
        <w:gridCol w:w="2052"/>
        <w:gridCol w:w="2163"/>
        <w:gridCol w:w="1122"/>
        <w:gridCol w:w="2209"/>
      </w:tblGrid>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покупа</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(импор</w:t>
            </w:r>
            <w:r>
              <w:rPr>
                <w:rFonts w:ascii="Times New Roman"/>
                <w:b w:val="false"/>
                <w:i w:val="false"/>
                <w:color w:val="000000"/>
                <w:sz w:val="20"/>
              </w:rPr>
              <w:t>тера)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период</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деклара</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(Заявле</w:t>
            </w:r>
            <w:r>
              <w:rPr>
                <w:rFonts w:ascii="Times New Roman"/>
                <w:b w:val="false"/>
                <w:i w:val="false"/>
                <w:color w:val="000000"/>
                <w:sz w:val="20"/>
              </w:rPr>
              <w:t>ния)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декла</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(Заяв</w:t>
            </w:r>
            <w:r>
              <w:rPr>
                <w:rFonts w:ascii="Times New Roman"/>
                <w:b w:val="false"/>
                <w:i w:val="false"/>
                <w:color w:val="000000"/>
                <w:sz w:val="20"/>
              </w:rPr>
              <w:t>ления)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ВЭД ТС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1612"/>
        <w:gridCol w:w="1837"/>
        <w:gridCol w:w="2494"/>
        <w:gridCol w:w="2494"/>
        <w:gridCol w:w="2082"/>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харак</w:t>
            </w:r>
            <w:r>
              <w:rPr>
                <w:rFonts w:ascii="Times New Roman"/>
                <w:b w:val="false"/>
                <w:i w:val="false"/>
                <w:color w:val="000000"/>
                <w:sz w:val="20"/>
              </w:rPr>
              <w:t>терис</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услуги)</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w:t>
            </w:r>
            <w:r>
              <w:rPr>
                <w:rFonts w:ascii="Times New Roman"/>
                <w:b w:val="false"/>
                <w:i w:val="false"/>
                <w:color w:val="000000"/>
                <w:sz w:val="20"/>
              </w:rPr>
              <w:t>тация</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транспортировки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937"/>
        <w:gridCol w:w="1656"/>
        <w:gridCol w:w="1679"/>
        <w:gridCol w:w="1984"/>
        <w:gridCol w:w="1586"/>
        <w:gridCol w:w="2314"/>
      </w:tblGrid>
      <w:tr>
        <w:trPr>
          <w:trHeight w:val="19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товарно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ИНКО</w:t>
            </w:r>
            <w:r>
              <w:rPr>
                <w:rFonts w:ascii="Times New Roman"/>
                <w:b w:val="false"/>
                <w:i w:val="false"/>
                <w:color w:val="000000"/>
                <w:sz w:val="20"/>
              </w:rPr>
              <w:t>ТЕРМС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отправителя</w:t>
            </w:r>
          </w:p>
        </w:tc>
      </w:tr>
      <w:tr>
        <w:trPr>
          <w:trHeight w:val="27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1980"/>
        <w:gridCol w:w="1634"/>
        <w:gridCol w:w="3017"/>
        <w:gridCol w:w="1893"/>
        <w:gridCol w:w="1937"/>
        <w:gridCol w:w="1355"/>
      </w:tblGrid>
      <w:tr>
        <w:trPr>
          <w:trHeight w:val="1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отправителя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w:t>
            </w:r>
            <w:r>
              <w:rPr>
                <w:rFonts w:ascii="Times New Roman"/>
                <w:b w:val="false"/>
                <w:i w:val="false"/>
                <w:color w:val="000000"/>
                <w:sz w:val="20"/>
              </w:rPr>
              <w:t>трации</w:t>
            </w:r>
            <w:r>
              <w:br/>
            </w:r>
            <w:r>
              <w:rPr>
                <w:rFonts w:ascii="Times New Roman"/>
                <w:b w:val="false"/>
                <w:i w:val="false"/>
                <w:color w:val="000000"/>
                <w:sz w:val="20"/>
              </w:rPr>
              <w:t>
</w:t>
            </w:r>
            <w:r>
              <w:rPr>
                <w:rFonts w:ascii="Times New Roman"/>
                <w:b w:val="false"/>
                <w:i w:val="false"/>
                <w:color w:val="000000"/>
                <w:sz w:val="20"/>
              </w:rPr>
              <w:t>отправи</w:t>
            </w:r>
            <w:r>
              <w:rPr>
                <w:rFonts w:ascii="Times New Roman"/>
                <w:b w:val="false"/>
                <w:i w:val="false"/>
                <w:color w:val="000000"/>
                <w:sz w:val="20"/>
              </w:rPr>
              <w:t>теля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w:t>
            </w:r>
            <w:r>
              <w:rPr>
                <w:rFonts w:ascii="Times New Roman"/>
                <w:b w:val="false"/>
                <w:i w:val="false"/>
                <w:color w:val="000000"/>
                <w:sz w:val="20"/>
              </w:rPr>
              <w:t>ющая</w:t>
            </w:r>
            <w:r>
              <w:br/>
            </w:r>
            <w:r>
              <w:rPr>
                <w:rFonts w:ascii="Times New Roman"/>
                <w:b w:val="false"/>
                <w:i w:val="false"/>
                <w:color w:val="000000"/>
                <w:sz w:val="20"/>
              </w:rPr>
              <w:t>
</w:t>
            </w:r>
            <w:r>
              <w:rPr>
                <w:rFonts w:ascii="Times New Roman"/>
                <w:b w:val="false"/>
                <w:i w:val="false"/>
                <w:color w:val="000000"/>
                <w:sz w:val="20"/>
              </w:rPr>
              <w:t>страна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rPr>
                <w:rFonts w:ascii="Times New Roman"/>
                <w:b w:val="false"/>
                <w:i w:val="false"/>
                <w:color w:val="000000"/>
                <w:sz w:val="20"/>
              </w:rPr>
              <w:t>ция о</w:t>
            </w:r>
            <w:r>
              <w:br/>
            </w:r>
            <w:r>
              <w:rPr>
                <w:rFonts w:ascii="Times New Roman"/>
                <w:b w:val="false"/>
                <w:i w:val="false"/>
                <w:color w:val="000000"/>
                <w:sz w:val="20"/>
              </w:rPr>
              <w:t>
</w:t>
            </w:r>
            <w:r>
              <w:rPr>
                <w:rFonts w:ascii="Times New Roman"/>
                <w:b w:val="false"/>
                <w:i w:val="false"/>
                <w:color w:val="000000"/>
                <w:sz w:val="20"/>
              </w:rPr>
              <w:t>взаимос</w:t>
            </w:r>
            <w:r>
              <w:rPr>
                <w:rFonts w:ascii="Times New Roman"/>
                <w:b w:val="false"/>
                <w:i w:val="false"/>
                <w:color w:val="000000"/>
                <w:sz w:val="20"/>
              </w:rPr>
              <w:t>вязан</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сторон</w:t>
            </w:r>
            <w:r>
              <w:br/>
            </w:r>
            <w:r>
              <w:rPr>
                <w:rFonts w:ascii="Times New Roman"/>
                <w:b w:val="false"/>
                <w:i w:val="false"/>
                <w:color w:val="000000"/>
                <w:sz w:val="20"/>
              </w:rPr>
              <w:t>
</w:t>
            </w:r>
            <w:r>
              <w:rPr>
                <w:rFonts w:ascii="Times New Roman"/>
                <w:b w:val="false"/>
                <w:i w:val="false"/>
                <w:color w:val="000000"/>
                <w:sz w:val="20"/>
              </w:rPr>
              <w:t>(отправи</w:t>
            </w:r>
            <w:r>
              <w:rPr>
                <w:rFonts w:ascii="Times New Roman"/>
                <w:b w:val="false"/>
                <w:i w:val="false"/>
                <w:color w:val="000000"/>
                <w:sz w:val="20"/>
              </w:rPr>
              <w:t>теля и</w:t>
            </w:r>
            <w:r>
              <w:br/>
            </w:r>
            <w:r>
              <w:rPr>
                <w:rFonts w:ascii="Times New Roman"/>
                <w:b w:val="false"/>
                <w:i w:val="false"/>
                <w:color w:val="000000"/>
                <w:sz w:val="20"/>
              </w:rPr>
              <w:t>
</w:t>
            </w:r>
            <w:r>
              <w:rPr>
                <w:rFonts w:ascii="Times New Roman"/>
                <w:b w:val="false"/>
                <w:i w:val="false"/>
                <w:color w:val="000000"/>
                <w:sz w:val="20"/>
              </w:rPr>
              <w:t>покупа</w:t>
            </w:r>
            <w:r>
              <w:rPr>
                <w:rFonts w:ascii="Times New Roman"/>
                <w:b w:val="false"/>
                <w:i w:val="false"/>
                <w:color w:val="000000"/>
                <w:sz w:val="20"/>
              </w:rPr>
              <w:t>теля)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контрак</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контрак</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r>
      <w:tr>
        <w:trPr>
          <w:trHeight w:val="27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895"/>
        <w:gridCol w:w="2025"/>
        <w:gridCol w:w="2565"/>
        <w:gridCol w:w="1766"/>
        <w:gridCol w:w="922"/>
        <w:gridCol w:w="2805"/>
      </w:tblGrid>
      <w:tr>
        <w:trPr>
          <w:trHeight w:val="1215"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товара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товара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валюте</w:t>
            </w:r>
            <w:r>
              <w:br/>
            </w:r>
            <w:r>
              <w:rPr>
                <w:rFonts w:ascii="Times New Roman"/>
                <w:b w:val="false"/>
                <w:i w:val="false"/>
                <w:color w:val="000000"/>
                <w:sz w:val="20"/>
              </w:rPr>
              <w:t>
</w:t>
            </w:r>
            <w:r>
              <w:rPr>
                <w:rFonts w:ascii="Times New Roman"/>
                <w:b w:val="false"/>
                <w:i w:val="false"/>
                <w:color w:val="000000"/>
                <w:sz w:val="20"/>
              </w:rPr>
              <w:t>конт</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(приобре</w:t>
            </w:r>
            <w:r>
              <w:rPr>
                <w:rFonts w:ascii="Times New Roman"/>
                <w:b w:val="false"/>
                <w:i w:val="false"/>
                <w:color w:val="000000"/>
                <w:sz w:val="20"/>
              </w:rPr>
              <w:t>тения)</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rPr>
                <w:rFonts w:ascii="Times New Roman"/>
                <w:b w:val="false"/>
                <w:i w:val="false"/>
                <w:color w:val="000000"/>
                <w:sz w:val="20"/>
              </w:rPr>
              <w:t>вора)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w:t>
            </w:r>
            <w:r>
              <w:rPr>
                <w:rFonts w:ascii="Times New Roman"/>
                <w:b w:val="false"/>
                <w:i w:val="false"/>
                <w:color w:val="000000"/>
                <w:sz w:val="20"/>
              </w:rPr>
              <w:t>логия</w:t>
            </w:r>
            <w:r>
              <w:br/>
            </w:r>
            <w:r>
              <w:rPr>
                <w:rFonts w:ascii="Times New Roman"/>
                <w:b w:val="false"/>
                <w:i w:val="false"/>
                <w:color w:val="000000"/>
                <w:sz w:val="20"/>
              </w:rPr>
              <w:t>
</w:t>
            </w:r>
            <w:r>
              <w:rPr>
                <w:rFonts w:ascii="Times New Roman"/>
                <w:b w:val="false"/>
                <w:i w:val="false"/>
                <w:color w:val="000000"/>
                <w:sz w:val="20"/>
              </w:rPr>
              <w:t>трансфер</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ценообра</w:t>
            </w:r>
            <w:r>
              <w:rPr>
                <w:rFonts w:ascii="Times New Roman"/>
                <w:b w:val="false"/>
                <w:i w:val="false"/>
                <w:color w:val="000000"/>
                <w:sz w:val="20"/>
              </w:rPr>
              <w:t>зования</w:t>
            </w:r>
          </w:p>
        </w:tc>
      </w:tr>
      <w:tr>
        <w:trPr>
          <w:trHeight w:val="27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553"/>
        <w:gridCol w:w="1913"/>
        <w:gridCol w:w="2193"/>
        <w:gridCol w:w="26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влияющие на</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цены сделки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применяемый для</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рыночной цены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цена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 услуги)</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807"/>
        <w:gridCol w:w="2884"/>
        <w:gridCol w:w="2927"/>
        <w:gridCol w:w="1936"/>
      </w:tblGrid>
      <w:tr>
        <w:trPr>
          <w:trHeight w:val="975"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предпринима</w:t>
            </w:r>
            <w:r>
              <w:rPr>
                <w:rFonts w:ascii="Times New Roman"/>
                <w:b w:val="false"/>
                <w:i w:val="false"/>
                <w:color w:val="000000"/>
                <w:sz w:val="20"/>
              </w:rPr>
              <w:t>тельской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xml:space="preserve">участника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 xml:space="preserve">(импортера),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условий рынка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бизнеса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обосновывающая</w:t>
            </w:r>
            <w:r>
              <w:br/>
            </w:r>
            <w:r>
              <w:rPr>
                <w:rFonts w:ascii="Times New Roman"/>
                <w:b w:val="false"/>
                <w:i w:val="false"/>
                <w:color w:val="000000"/>
                <w:sz w:val="20"/>
              </w:rPr>
              <w:t>
</w:t>
            </w:r>
            <w:r>
              <w:rPr>
                <w:rFonts w:ascii="Times New Roman"/>
                <w:b w:val="false"/>
                <w:i w:val="false"/>
                <w:color w:val="000000"/>
                <w:sz w:val="20"/>
              </w:rPr>
              <w:t>правильность</w:t>
            </w:r>
            <w:r>
              <w:br/>
            </w:r>
            <w:r>
              <w:rPr>
                <w:rFonts w:ascii="Times New Roman"/>
                <w:b w:val="false"/>
                <w:i w:val="false"/>
                <w:color w:val="000000"/>
                <w:sz w:val="20"/>
              </w:rPr>
              <w:t>
</w:t>
            </w:r>
            <w:r>
              <w:rPr>
                <w:rFonts w:ascii="Times New Roman"/>
                <w:b w:val="false"/>
                <w:i w:val="false"/>
                <w:color w:val="000000"/>
                <w:sz w:val="20"/>
              </w:rPr>
              <w:t xml:space="preserve">применения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 xml:space="preserve">сделки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услуги)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Другая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влияющая на</w:t>
            </w:r>
            <w:r>
              <w:br/>
            </w:r>
            <w:r>
              <w:rPr>
                <w:rFonts w:ascii="Times New Roman"/>
                <w:b w:val="false"/>
                <w:i w:val="false"/>
                <w:color w:val="000000"/>
                <w:sz w:val="20"/>
              </w:rPr>
              <w:t>
</w:t>
            </w:r>
            <w:r>
              <w:rPr>
                <w:rFonts w:ascii="Times New Roman"/>
                <w:b w:val="false"/>
                <w:i w:val="false"/>
                <w:color w:val="000000"/>
                <w:sz w:val="20"/>
              </w:rPr>
              <w:t>величину</w:t>
            </w:r>
            <w:r>
              <w:br/>
            </w:r>
            <w:r>
              <w:rPr>
                <w:rFonts w:ascii="Times New Roman"/>
                <w:b w:val="false"/>
                <w:i w:val="false"/>
                <w:color w:val="000000"/>
                <w:sz w:val="20"/>
              </w:rPr>
              <w:t>
</w:t>
            </w:r>
            <w:r>
              <w:rPr>
                <w:rFonts w:ascii="Times New Roman"/>
                <w:b w:val="false"/>
                <w:i w:val="false"/>
                <w:color w:val="000000"/>
                <w:sz w:val="20"/>
              </w:rPr>
              <w:t>отклонения цены</w:t>
            </w:r>
            <w:r>
              <w:br/>
            </w:r>
            <w:r>
              <w:rPr>
                <w:rFonts w:ascii="Times New Roman"/>
                <w:b w:val="false"/>
                <w:i w:val="false"/>
                <w:color w:val="000000"/>
                <w:sz w:val="20"/>
              </w:rPr>
              <w:t>
</w:t>
            </w:r>
            <w:r>
              <w:rPr>
                <w:rFonts w:ascii="Times New Roman"/>
                <w:b w:val="false"/>
                <w:i w:val="false"/>
                <w:color w:val="000000"/>
                <w:sz w:val="20"/>
              </w:rPr>
              <w:t>сделки товара</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рыночной цены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цен</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27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473"/>
        <w:gridCol w:w="2653"/>
        <w:gridCol w:w="5153"/>
      </w:tblGrid>
      <w:tr>
        <w:trPr>
          <w:trHeight w:val="13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 xml:space="preserve">бухгалтерского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 xml:space="preserve">в том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 xml:space="preserve">финансовая </w:t>
            </w:r>
            <w:r>
              <w:rPr>
                <w:rFonts w:ascii="Times New Roman"/>
                <w:b w:val="false"/>
                <w:i w:val="false"/>
                <w:color w:val="000000"/>
                <w:sz w:val="20"/>
              </w:rPr>
              <w:t>отчетность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Функциональный</w:t>
            </w:r>
            <w:r>
              <w:br/>
            </w:r>
            <w:r>
              <w:rPr>
                <w:rFonts w:ascii="Times New Roman"/>
                <w:b w:val="false"/>
                <w:i w:val="false"/>
                <w:color w:val="000000"/>
                <w:sz w:val="20"/>
              </w:rPr>
              <w:t>
</w:t>
            </w:r>
            <w:r>
              <w:rPr>
                <w:rFonts w:ascii="Times New Roman"/>
                <w:b w:val="false"/>
                <w:i w:val="false"/>
                <w:color w:val="000000"/>
                <w:sz w:val="20"/>
              </w:rPr>
              <w:t>анализ, анализ</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материальных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комиссионное (агентское)</w:t>
            </w:r>
            <w:r>
              <w:br/>
            </w:r>
            <w:r>
              <w:rPr>
                <w:rFonts w:ascii="Times New Roman"/>
                <w:b w:val="false"/>
                <w:i w:val="false"/>
                <w:color w:val="000000"/>
                <w:sz w:val="20"/>
              </w:rPr>
              <w:t>
</w:t>
            </w:r>
            <w:r>
              <w:rPr>
                <w:rFonts w:ascii="Times New Roman"/>
                <w:b w:val="false"/>
                <w:i w:val="false"/>
                <w:color w:val="000000"/>
                <w:sz w:val="20"/>
              </w:rPr>
              <w:t>вознаграждение торгового</w:t>
            </w:r>
            <w:r>
              <w:br/>
            </w:r>
            <w:r>
              <w:rPr>
                <w:rFonts w:ascii="Times New Roman"/>
                <w:b w:val="false"/>
                <w:i w:val="false"/>
                <w:color w:val="000000"/>
                <w:sz w:val="20"/>
              </w:rPr>
              <w:t>
</w:t>
            </w:r>
            <w:r>
              <w:rPr>
                <w:rFonts w:ascii="Times New Roman"/>
                <w:b w:val="false"/>
                <w:i w:val="false"/>
                <w:color w:val="000000"/>
                <w:sz w:val="20"/>
              </w:rPr>
              <w:t>брокера, трейдера или агента</w:t>
            </w:r>
            <w:r>
              <w:br/>
            </w:r>
            <w:r>
              <w:rPr>
                <w:rFonts w:ascii="Times New Roman"/>
                <w:b w:val="false"/>
                <w:i w:val="false"/>
                <w:color w:val="000000"/>
                <w:sz w:val="20"/>
              </w:rPr>
              <w:t>
</w:t>
            </w:r>
            <w:r>
              <w:rPr>
                <w:rFonts w:ascii="Times New Roman"/>
                <w:b w:val="false"/>
                <w:i w:val="false"/>
                <w:color w:val="000000"/>
                <w:sz w:val="20"/>
              </w:rPr>
              <w:t>либо компенсации за выполнение</w:t>
            </w:r>
            <w:r>
              <w:br/>
            </w:r>
            <w:r>
              <w:rPr>
                <w:rFonts w:ascii="Times New Roman"/>
                <w:b w:val="false"/>
                <w:i w:val="false"/>
                <w:color w:val="000000"/>
                <w:sz w:val="20"/>
              </w:rPr>
              <w:t>
</w:t>
            </w:r>
            <w:r>
              <w:rPr>
                <w:rFonts w:ascii="Times New Roman"/>
                <w:b w:val="false"/>
                <w:i w:val="false"/>
                <w:color w:val="000000"/>
                <w:sz w:val="20"/>
              </w:rPr>
              <w:t>ими торгово-посреднических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