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f3df" w14:textId="f48f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для определения сельских населенных пунктов с низким и высоким экономическим потенциалом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28 июля 2011 года № 28-2/430 и и.о. Министра Экономического развития и торговли Республики Казахстан от 28 июля 2011 года № 225. Зарегистрирован в Министерстве юстиции Республики Казахстан 8 августа 2011 года № 7108. Утратил силу приказом Первого заместителя Премьер-Министра Республики Казахстан - Министра регионального развития Республики Казахстан от 18 сентября 2013 года № 235/ОД</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Первого заместителя Премьер-Министра РК - Министра регионального развития РК от 18 сентября 2013 года № 235/ОД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утвержденными постановлением Правительства Республики Казахстан от 18 июля 2011 года № 817,</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критерии для определения сельских населенных пунктов с низким и высоким экономическим потенциалом.</w:t>
      </w:r>
      <w:r>
        <w:br/>
      </w:r>
      <w:r>
        <w:rPr>
          <w:rFonts w:ascii="Times New Roman"/>
          <w:b w:val="false"/>
          <w:i w:val="false"/>
          <w:color w:val="000000"/>
          <w:sz w:val="28"/>
        </w:rPr>
        <w:t>
</w:t>
      </w:r>
      <w:r>
        <w:rPr>
          <w:rFonts w:ascii="Times New Roman"/>
          <w:b w:val="false"/>
          <w:i w:val="false"/>
          <w:color w:val="000000"/>
          <w:sz w:val="28"/>
        </w:rPr>
        <w:t>
      2. Департаменту региональной политики и межбюджетных отношений Министерства экономического развития и торговли Республики Казахстан, Комитету по делам сельских территорий Министерства сельского хозяйства Республики Казахстан принять необходимые меры по своевременному согласованию Перечня сельских населенных пунктов с низким и высоким экономическим потенциалом.</w:t>
      </w:r>
      <w:r>
        <w:br/>
      </w:r>
      <w:r>
        <w:rPr>
          <w:rFonts w:ascii="Times New Roman"/>
          <w:b w:val="false"/>
          <w:i w:val="false"/>
          <w:color w:val="000000"/>
          <w:sz w:val="28"/>
        </w:rPr>
        <w:t>
</w:t>
      </w:r>
      <w:r>
        <w:rPr>
          <w:rFonts w:ascii="Times New Roman"/>
          <w:b w:val="false"/>
          <w:i w:val="false"/>
          <w:color w:val="000000"/>
          <w:sz w:val="28"/>
        </w:rPr>
        <w:t>
      3. Департаменту региональной политики и межбюджетных отношений Министерства экономического развития и торговли Республики Казахстан (Беспалинов Т.А.)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сельского хозяйства Республики Казахстан Толибаева М.Е. и вице-министра экономического развития и торговли Республики Казахстан Искандирова А.М.</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и.о.Министра</w:t>
      </w:r>
      <w:r>
        <w:br/>
      </w:r>
      <w:r>
        <w:rPr>
          <w:rFonts w:ascii="Times New Roman"/>
          <w:b w:val="false"/>
          <w:i w:val="false"/>
          <w:color w:val="000000"/>
          <w:sz w:val="28"/>
        </w:rPr>
        <w:t>
</w:t>
      </w:r>
      <w:r>
        <w:rPr>
          <w:rFonts w:ascii="Times New Roman"/>
          <w:b w:val="false"/>
          <w:i/>
          <w:color w:val="000000"/>
          <w:sz w:val="28"/>
        </w:rPr>
        <w:t>      сельского хозяйства         Экономического развития и торговли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 А. Мамытбеков              ____________ Т.Сулейменов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2011 года № 28-2/430</w:t>
      </w:r>
      <w:r>
        <w:br/>
      </w:r>
      <w:r>
        <w:rPr>
          <w:rFonts w:ascii="Times New Roman"/>
          <w:b w:val="false"/>
          <w:i w:val="false"/>
          <w:color w:val="000000"/>
          <w:sz w:val="28"/>
        </w:rPr>
        <w:t>
и и.о.Министра экономического</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2011 года № 225   </w:t>
      </w:r>
    </w:p>
    <w:bookmarkStart w:name="z10" w:id="1"/>
    <w:p>
      <w:pPr>
        <w:spacing w:after="0"/>
        <w:ind w:left="0"/>
        <w:jc w:val="both"/>
      </w:pPr>
      <w:r>
        <w:rPr>
          <w:rFonts w:ascii="Times New Roman"/>
          <w:b w:val="false"/>
          <w:i w:val="false"/>
          <w:color w:val="000000"/>
          <w:sz w:val="28"/>
        </w:rPr>
        <w:t>
          </w:t>
      </w:r>
      <w:r>
        <w:rPr>
          <w:rFonts w:ascii="Times New Roman"/>
          <w:b/>
          <w:i w:val="false"/>
          <w:color w:val="000000"/>
          <w:sz w:val="28"/>
        </w:rPr>
        <w:t>Критерии для определения сельских населенных пунктов</w:t>
      </w:r>
      <w:r>
        <w:br/>
      </w:r>
      <w:r>
        <w:rPr>
          <w:rFonts w:ascii="Times New Roman"/>
          <w:b w:val="false"/>
          <w:i w:val="false"/>
          <w:color w:val="000000"/>
          <w:sz w:val="28"/>
        </w:rPr>
        <w:t>
                </w:t>
      </w:r>
      <w:r>
        <w:rPr>
          <w:rFonts w:ascii="Times New Roman"/>
          <w:b/>
          <w:i w:val="false"/>
          <w:color w:val="000000"/>
          <w:sz w:val="28"/>
        </w:rPr>
        <w:t>с низким и высоким экономическим потенциалом</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8"/>
        <w:gridCol w:w="5031"/>
        <w:gridCol w:w="2502"/>
        <w:gridCol w:w="2189"/>
      </w:tblGrid>
      <w:tr>
        <w:trPr>
          <w:trHeight w:val="18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Классификационные</w:t>
            </w:r>
            <w:r>
              <w:br/>
            </w:r>
            <w:r>
              <w:rPr>
                <w:rFonts w:ascii="Times New Roman"/>
                <w:b w:val="false"/>
                <w:i w:val="false"/>
                <w:color w:val="000000"/>
                <w:sz w:val="20"/>
              </w:rPr>
              <w:t>
факторы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Пороговые</w:t>
            </w:r>
            <w:r>
              <w:br/>
            </w:r>
            <w:r>
              <w:rPr>
                <w:rFonts w:ascii="Times New Roman"/>
                <w:b w:val="false"/>
                <w:i w:val="false"/>
                <w:color w:val="000000"/>
                <w:sz w:val="20"/>
              </w:rPr>
              <w:t>
значения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Экономический блок 60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Плодородие почвы</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бонитета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удаленности</w:t>
            </w:r>
            <w:r>
              <w:br/>
            </w:r>
            <w:r>
              <w:rPr>
                <w:rFonts w:ascii="Times New Roman"/>
                <w:b w:val="false"/>
                <w:i w:val="false"/>
                <w:color w:val="000000"/>
                <w:sz w:val="20"/>
              </w:rPr>
              <w:t>
от рынков сбыта</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сельского</w:t>
            </w:r>
            <w:r>
              <w:br/>
            </w:r>
            <w:r>
              <w:rPr>
                <w:rFonts w:ascii="Times New Roman"/>
                <w:b w:val="false"/>
                <w:i w:val="false"/>
                <w:color w:val="000000"/>
                <w:sz w:val="20"/>
              </w:rPr>
              <w:t>
населенного пункта до</w:t>
            </w:r>
            <w:r>
              <w:br/>
            </w:r>
            <w:r>
              <w:rPr>
                <w:rFonts w:ascii="Times New Roman"/>
                <w:b w:val="false"/>
                <w:i w:val="false"/>
                <w:color w:val="000000"/>
                <w:sz w:val="20"/>
              </w:rPr>
              <w:t>
районного центра, ж/д</w:t>
            </w:r>
            <w:r>
              <w:br/>
            </w:r>
            <w:r>
              <w:rPr>
                <w:rFonts w:ascii="Times New Roman"/>
                <w:b w:val="false"/>
                <w:i w:val="false"/>
                <w:color w:val="000000"/>
                <w:sz w:val="20"/>
              </w:rPr>
              <w:t>
станции, ближайшего</w:t>
            </w:r>
            <w:r>
              <w:br/>
            </w:r>
            <w:r>
              <w:rPr>
                <w:rFonts w:ascii="Times New Roman"/>
                <w:b w:val="false"/>
                <w:i w:val="false"/>
                <w:color w:val="000000"/>
                <w:sz w:val="20"/>
              </w:rPr>
              <w:t>
города, км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&gt;20-60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&gt;60-100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Предпринимательская</w:t>
            </w:r>
            <w:r>
              <w:br/>
            </w:r>
            <w:r>
              <w:rPr>
                <w:rFonts w:ascii="Times New Roman"/>
                <w:b w:val="false"/>
                <w:i w:val="false"/>
                <w:color w:val="000000"/>
                <w:sz w:val="20"/>
              </w:rPr>
              <w:t>
активность</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Приходится хозяйствующих</w:t>
            </w:r>
            <w:r>
              <w:br/>
            </w:r>
            <w:r>
              <w:rPr>
                <w:rFonts w:ascii="Times New Roman"/>
                <w:b w:val="false"/>
                <w:i w:val="false"/>
                <w:color w:val="000000"/>
                <w:sz w:val="20"/>
              </w:rPr>
              <w:t>
субъектов на 100 жителей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переработки</w:t>
            </w:r>
            <w:r>
              <w:br/>
            </w:r>
            <w:r>
              <w:rPr>
                <w:rFonts w:ascii="Times New Roman"/>
                <w:b w:val="false"/>
                <w:i w:val="false"/>
                <w:color w:val="000000"/>
                <w:sz w:val="20"/>
              </w:rPr>
              <w:t>
сельхозпродукции</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сельскохозяйственной</w:t>
            </w:r>
            <w:r>
              <w:br/>
            </w:r>
            <w:r>
              <w:rPr>
                <w:rFonts w:ascii="Times New Roman"/>
                <w:b w:val="false"/>
                <w:i w:val="false"/>
                <w:color w:val="000000"/>
                <w:sz w:val="20"/>
              </w:rPr>
              <w:t>
техникой</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Приходится тракторов</w:t>
            </w:r>
            <w:r>
              <w:br/>
            </w:r>
            <w:r>
              <w:rPr>
                <w:rFonts w:ascii="Times New Roman"/>
                <w:b w:val="false"/>
                <w:i w:val="false"/>
                <w:color w:val="000000"/>
                <w:sz w:val="20"/>
              </w:rPr>
              <w:t>
на 100 га пашни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0,2-&lt;0,4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Приходится комбайнов</w:t>
            </w:r>
            <w:r>
              <w:br/>
            </w:r>
            <w:r>
              <w:rPr>
                <w:rFonts w:ascii="Times New Roman"/>
                <w:b w:val="false"/>
                <w:i w:val="false"/>
                <w:color w:val="000000"/>
                <w:sz w:val="20"/>
              </w:rPr>
              <w:t>
на 100 га пашни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0,1-&lt;0.2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ирригационных систем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и используются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и не</w:t>
            </w:r>
            <w:r>
              <w:br/>
            </w:r>
            <w:r>
              <w:rPr>
                <w:rFonts w:ascii="Times New Roman"/>
                <w:b w:val="false"/>
                <w:i w:val="false"/>
                <w:color w:val="000000"/>
                <w:sz w:val="20"/>
              </w:rPr>
              <w:t>
используются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имеются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одного человека, га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одну условную голову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0,1-&lt;0.2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Инженерно-инфраструктурный блок 30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 водопроводом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Пользуются местными</w:t>
            </w:r>
            <w:r>
              <w:br/>
            </w:r>
            <w:r>
              <w:rPr>
                <w:rFonts w:ascii="Times New Roman"/>
                <w:b w:val="false"/>
                <w:i w:val="false"/>
                <w:color w:val="000000"/>
                <w:sz w:val="20"/>
              </w:rPr>
              <w:t>
источниками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Пользуются водой из</w:t>
            </w:r>
            <w:r>
              <w:br/>
            </w:r>
            <w:r>
              <w:rPr>
                <w:rFonts w:ascii="Times New Roman"/>
                <w:b w:val="false"/>
                <w:i w:val="false"/>
                <w:color w:val="000000"/>
                <w:sz w:val="20"/>
              </w:rPr>
              <w:t>
открытых водоемов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Привозная вода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Балансодержатель</w:t>
            </w:r>
            <w:r>
              <w:br/>
            </w:r>
            <w:r>
              <w:rPr>
                <w:rFonts w:ascii="Times New Roman"/>
                <w:b w:val="false"/>
                <w:i w:val="false"/>
                <w:color w:val="000000"/>
                <w:sz w:val="20"/>
              </w:rPr>
              <w:t>
водопровода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Эксплуатирующие</w:t>
            </w:r>
            <w:r>
              <w:br/>
            </w:r>
            <w:r>
              <w:rPr>
                <w:rFonts w:ascii="Times New Roman"/>
                <w:b w:val="false"/>
                <w:i w:val="false"/>
                <w:color w:val="000000"/>
                <w:sz w:val="20"/>
              </w:rPr>
              <w:t>
предприятия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Твердое покрытие, %</w:t>
            </w:r>
            <w:r>
              <w:br/>
            </w:r>
            <w:r>
              <w:rPr>
                <w:rFonts w:ascii="Times New Roman"/>
                <w:b w:val="false"/>
                <w:i w:val="false"/>
                <w:color w:val="000000"/>
                <w:sz w:val="20"/>
              </w:rPr>
              <w:t>
протяженности дорог до</w:t>
            </w:r>
            <w:r>
              <w:br/>
            </w:r>
            <w:r>
              <w:rPr>
                <w:rFonts w:ascii="Times New Roman"/>
                <w:b w:val="false"/>
                <w:i w:val="false"/>
                <w:color w:val="000000"/>
                <w:sz w:val="20"/>
              </w:rPr>
              <w:t>
райцентра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&gt;=75 - 100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&gt;=50 - 75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Газифицированы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газифицированы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Обеспечены</w:t>
            </w:r>
            <w:r>
              <w:br/>
            </w:r>
            <w:r>
              <w:rPr>
                <w:rFonts w:ascii="Times New Roman"/>
                <w:b w:val="false"/>
                <w:i w:val="false"/>
                <w:color w:val="000000"/>
                <w:sz w:val="20"/>
              </w:rPr>
              <w:t>
электроэнергией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w:t>
            </w:r>
            <w:r>
              <w:br/>
            </w:r>
            <w:r>
              <w:rPr>
                <w:rFonts w:ascii="Times New Roman"/>
                <w:b w:val="false"/>
                <w:i w:val="false"/>
                <w:color w:val="000000"/>
                <w:sz w:val="20"/>
              </w:rPr>
              <w:t>
электроэнергией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Cвязь (телефонная)</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 АТС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номеров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связи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Социальный блок 10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школ и их</w:t>
            </w:r>
            <w:r>
              <w:br/>
            </w:r>
            <w:r>
              <w:rPr>
                <w:rFonts w:ascii="Times New Roman"/>
                <w:b w:val="false"/>
                <w:i w:val="false"/>
                <w:color w:val="000000"/>
                <w:sz w:val="20"/>
              </w:rPr>
              <w:t>
соответствие нормам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w:t>
            </w:r>
            <w:r>
              <w:br/>
            </w:r>
            <w:r>
              <w:rPr>
                <w:rFonts w:ascii="Times New Roman"/>
                <w:b w:val="false"/>
                <w:i w:val="false"/>
                <w:color w:val="000000"/>
                <w:sz w:val="20"/>
              </w:rPr>
              <w:t>
несоответствие школ</w:t>
            </w:r>
            <w:r>
              <w:br/>
            </w:r>
            <w:r>
              <w:rPr>
                <w:rFonts w:ascii="Times New Roman"/>
                <w:b w:val="false"/>
                <w:i w:val="false"/>
                <w:color w:val="000000"/>
                <w:sz w:val="20"/>
              </w:rPr>
              <w:t>
нормам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школ,</w:t>
            </w:r>
            <w:r>
              <w:br/>
            </w:r>
            <w:r>
              <w:rPr>
                <w:rFonts w:ascii="Times New Roman"/>
                <w:b w:val="false"/>
                <w:i w:val="false"/>
                <w:color w:val="000000"/>
                <w:sz w:val="20"/>
              </w:rPr>
              <w:t>
расстояние до ближайшей</w:t>
            </w:r>
            <w:r>
              <w:br/>
            </w:r>
            <w:r>
              <w:rPr>
                <w:rFonts w:ascii="Times New Roman"/>
                <w:b w:val="false"/>
                <w:i w:val="false"/>
                <w:color w:val="000000"/>
                <w:sz w:val="20"/>
              </w:rPr>
              <w:t>
школы меньше 3 км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школ,</w:t>
            </w:r>
            <w:r>
              <w:br/>
            </w:r>
            <w:r>
              <w:rPr>
                <w:rFonts w:ascii="Times New Roman"/>
                <w:b w:val="false"/>
                <w:i w:val="false"/>
                <w:color w:val="000000"/>
                <w:sz w:val="20"/>
              </w:rPr>
              <w:t>
расстояние до ближайшей</w:t>
            </w:r>
            <w:r>
              <w:br/>
            </w:r>
            <w:r>
              <w:rPr>
                <w:rFonts w:ascii="Times New Roman"/>
                <w:b w:val="false"/>
                <w:i w:val="false"/>
                <w:color w:val="000000"/>
                <w:sz w:val="20"/>
              </w:rPr>
              <w:t>
школы свыше 3 км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медучреждений и</w:t>
            </w:r>
            <w:r>
              <w:br/>
            </w:r>
            <w:r>
              <w:rPr>
                <w:rFonts w:ascii="Times New Roman"/>
                <w:b w:val="false"/>
                <w:i w:val="false"/>
                <w:color w:val="000000"/>
                <w:sz w:val="20"/>
              </w:rPr>
              <w:t>
их соответствие нормам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w:t>
            </w:r>
            <w:r>
              <w:br/>
            </w:r>
            <w:r>
              <w:rPr>
                <w:rFonts w:ascii="Times New Roman"/>
                <w:b w:val="false"/>
                <w:i w:val="false"/>
                <w:color w:val="000000"/>
                <w:sz w:val="20"/>
              </w:rPr>
              <w:t>
несоответствие</w:t>
            </w:r>
            <w:r>
              <w:br/>
            </w:r>
            <w:r>
              <w:rPr>
                <w:rFonts w:ascii="Times New Roman"/>
                <w:b w:val="false"/>
                <w:i w:val="false"/>
                <w:color w:val="000000"/>
                <w:sz w:val="20"/>
              </w:rPr>
              <w:t>
медучреждений нормам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имеют медучреждений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занятых</w:t>
            </w:r>
            <w:r>
              <w:br/>
            </w:r>
            <w:r>
              <w:rPr>
                <w:rFonts w:ascii="Times New Roman"/>
                <w:b w:val="false"/>
                <w:i w:val="false"/>
                <w:color w:val="000000"/>
                <w:sz w:val="20"/>
              </w:rPr>
              <w:t>
людей на 100</w:t>
            </w:r>
            <w:r>
              <w:br/>
            </w:r>
            <w:r>
              <w:rPr>
                <w:rFonts w:ascii="Times New Roman"/>
                <w:b w:val="false"/>
                <w:i w:val="false"/>
                <w:color w:val="000000"/>
                <w:sz w:val="20"/>
              </w:rPr>
              <w:t>
трудоспособных</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&gt;=средне-</w:t>
            </w:r>
            <w:r>
              <w:br/>
            </w:r>
            <w:r>
              <w:rPr>
                <w:rFonts w:ascii="Times New Roman"/>
                <w:b w:val="false"/>
                <w:i w:val="false"/>
                <w:color w:val="000000"/>
                <w:sz w:val="20"/>
              </w:rPr>
              <w:t>
областного</w:t>
            </w:r>
            <w:r>
              <w:br/>
            </w:r>
            <w:r>
              <w:rPr>
                <w:rFonts w:ascii="Times New Roman"/>
                <w:b w:val="false"/>
                <w:i w:val="false"/>
                <w:color w:val="000000"/>
                <w:sz w:val="20"/>
              </w:rPr>
              <w:t>
показателя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&lt;средне-</w:t>
            </w:r>
            <w:r>
              <w:br/>
            </w:r>
            <w:r>
              <w:rPr>
                <w:rFonts w:ascii="Times New Roman"/>
                <w:b w:val="false"/>
                <w:i w:val="false"/>
                <w:color w:val="000000"/>
                <w:sz w:val="20"/>
              </w:rPr>
              <w:t>
областного</w:t>
            </w:r>
            <w:r>
              <w:br/>
            </w:r>
            <w:r>
              <w:rPr>
                <w:rFonts w:ascii="Times New Roman"/>
                <w:b w:val="false"/>
                <w:i w:val="false"/>
                <w:color w:val="000000"/>
                <w:sz w:val="20"/>
              </w:rPr>
              <w:t>
показателя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Бедность **</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r>
              <w:br/>
            </w:r>
            <w:r>
              <w:rPr>
                <w:rFonts w:ascii="Times New Roman"/>
                <w:b w:val="false"/>
                <w:i w:val="false"/>
                <w:color w:val="000000"/>
                <w:sz w:val="20"/>
              </w:rPr>
              <w:t>
получающих адресную</w:t>
            </w:r>
            <w:r>
              <w:br/>
            </w:r>
            <w:r>
              <w:rPr>
                <w:rFonts w:ascii="Times New Roman"/>
                <w:b w:val="false"/>
                <w:i w:val="false"/>
                <w:color w:val="000000"/>
                <w:sz w:val="20"/>
              </w:rPr>
              <w:t>
социальную помощь на</w:t>
            </w:r>
            <w:r>
              <w:br/>
            </w:r>
            <w:r>
              <w:rPr>
                <w:rFonts w:ascii="Times New Roman"/>
                <w:b w:val="false"/>
                <w:i w:val="false"/>
                <w:color w:val="000000"/>
                <w:sz w:val="20"/>
              </w:rPr>
              <w:t>
100 жителей НП</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&lt;=средне-</w:t>
            </w:r>
            <w:r>
              <w:br/>
            </w:r>
            <w:r>
              <w:rPr>
                <w:rFonts w:ascii="Times New Roman"/>
                <w:b w:val="false"/>
                <w:i w:val="false"/>
                <w:color w:val="000000"/>
                <w:sz w:val="20"/>
              </w:rPr>
              <w:t>
областного</w:t>
            </w:r>
            <w:r>
              <w:br/>
            </w:r>
            <w:r>
              <w:rPr>
                <w:rFonts w:ascii="Times New Roman"/>
                <w:b w:val="false"/>
                <w:i w:val="false"/>
                <w:color w:val="000000"/>
                <w:sz w:val="20"/>
              </w:rPr>
              <w:t>
показателя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&gt;средне-</w:t>
            </w:r>
            <w:r>
              <w:br/>
            </w:r>
            <w:r>
              <w:rPr>
                <w:rFonts w:ascii="Times New Roman"/>
                <w:b w:val="false"/>
                <w:i w:val="false"/>
                <w:color w:val="000000"/>
                <w:sz w:val="20"/>
              </w:rPr>
              <w:t>
областного</w:t>
            </w:r>
            <w:r>
              <w:br/>
            </w:r>
            <w:r>
              <w:rPr>
                <w:rFonts w:ascii="Times New Roman"/>
                <w:b w:val="false"/>
                <w:i w:val="false"/>
                <w:color w:val="000000"/>
                <w:sz w:val="20"/>
              </w:rPr>
              <w:t>
показателя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Экологический блок</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Радиационный фон</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мкЗв/ч</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Засоленность почвы</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w:t>
            </w:r>
            <w:r>
              <w:br/>
            </w:r>
            <w:r>
              <w:rPr>
                <w:rFonts w:ascii="Times New Roman"/>
                <w:b w:val="false"/>
                <w:i w:val="false"/>
                <w:color w:val="000000"/>
                <w:sz w:val="20"/>
              </w:rPr>
              <w:t>
засоленные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засоленные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w:t>
            </w:r>
            <w:r>
              <w:br/>
            </w:r>
            <w:r>
              <w:rPr>
                <w:rFonts w:ascii="Times New Roman"/>
                <w:b w:val="false"/>
                <w:i w:val="false"/>
                <w:color w:val="000000"/>
                <w:sz w:val="20"/>
              </w:rPr>
              <w:t>
засоленные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w:t>
            </w:r>
            <w:r>
              <w:br/>
            </w:r>
            <w:r>
              <w:rPr>
                <w:rFonts w:ascii="Times New Roman"/>
                <w:b w:val="false"/>
                <w:i w:val="false"/>
                <w:color w:val="000000"/>
                <w:sz w:val="20"/>
              </w:rPr>
              <w:t>
сильно-</w:t>
            </w:r>
            <w:r>
              <w:br/>
            </w:r>
            <w:r>
              <w:rPr>
                <w:rFonts w:ascii="Times New Roman"/>
                <w:b w:val="false"/>
                <w:i w:val="false"/>
                <w:color w:val="000000"/>
                <w:sz w:val="20"/>
              </w:rPr>
              <w:t>
засоленные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воды</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минеральных</w:t>
            </w:r>
            <w:r>
              <w:br/>
            </w:r>
            <w:r>
              <w:rPr>
                <w:rFonts w:ascii="Times New Roman"/>
                <w:b w:val="false"/>
                <w:i w:val="false"/>
                <w:color w:val="000000"/>
                <w:sz w:val="20"/>
              </w:rPr>
              <w:t>
солей в воде (г/литр)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Итого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 высоким экономическим потенциалом</w:t>
            </w:r>
            <w:r>
              <w:br/>
            </w:r>
            <w:r>
              <w:rPr>
                <w:rFonts w:ascii="Times New Roman"/>
                <w:b w:val="false"/>
                <w:i w:val="false"/>
                <w:color w:val="000000"/>
                <w:sz w:val="20"/>
              </w:rPr>
              <w:t>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со средним экономическим потенциалом</w:t>
            </w:r>
            <w:r>
              <w:br/>
            </w:r>
            <w:r>
              <w:rPr>
                <w:rFonts w:ascii="Times New Roman"/>
                <w:b w:val="false"/>
                <w:i w:val="false"/>
                <w:color w:val="000000"/>
                <w:sz w:val="20"/>
              </w:rPr>
              <w:t>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 с низким экономическим потенциалом</w:t>
            </w:r>
            <w:r>
              <w:br/>
            </w:r>
            <w:r>
              <w:rPr>
                <w:rFonts w:ascii="Times New Roman"/>
                <w:b w:val="false"/>
                <w:i w:val="false"/>
                <w:color w:val="000000"/>
                <w:sz w:val="20"/>
              </w:rPr>
              <w:t>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1 - 34</w:t>
            </w:r>
          </w:p>
        </w:tc>
      </w:tr>
    </w:tbl>
    <w:bookmarkStart w:name="z11" w:id="2"/>
    <w:p>
      <w:pPr>
        <w:spacing w:after="0"/>
        <w:ind w:left="0"/>
        <w:jc w:val="both"/>
      </w:pPr>
      <w:r>
        <w:rPr>
          <w:rFonts w:ascii="Times New Roman"/>
          <w:b w:val="false"/>
          <w:i w:val="false"/>
          <w:color w:val="000000"/>
          <w:sz w:val="28"/>
        </w:rPr>
        <w:t>
* - В случае наличия нескольких объектов здравоохранения, при расчетах принимается объект по степени его значимости;</w:t>
      </w:r>
      <w:r>
        <w:br/>
      </w:r>
      <w:r>
        <w:rPr>
          <w:rFonts w:ascii="Times New Roman"/>
          <w:b w:val="false"/>
          <w:i w:val="false"/>
          <w:color w:val="000000"/>
          <w:sz w:val="28"/>
        </w:rPr>
        <w:t>
</w:t>
      </w:r>
      <w:r>
        <w:rPr>
          <w:rFonts w:ascii="Times New Roman"/>
          <w:b w:val="false"/>
          <w:i w:val="false"/>
          <w:color w:val="000000"/>
          <w:sz w:val="28"/>
        </w:rPr>
        <w:t>
** - рассчитывается путем соотношения анализируемого фактора со среднеобластным показателем.</w:t>
      </w:r>
      <w:r>
        <w:br/>
      </w:r>
      <w:r>
        <w:rPr>
          <w:rFonts w:ascii="Times New Roman"/>
          <w:b w:val="false"/>
          <w:i w:val="false"/>
          <w:color w:val="000000"/>
          <w:sz w:val="28"/>
        </w:rPr>
        <w:t>
</w:t>
      </w:r>
      <w:r>
        <w:rPr>
          <w:rFonts w:ascii="Times New Roman"/>
          <w:b w:val="false"/>
          <w:i w:val="false"/>
          <w:color w:val="000000"/>
          <w:sz w:val="28"/>
        </w:rPr>
        <w:t>
      Критерии для определения сельских населенных пунктов с низким и высоким экономическим потенциалом рассчитываются в соответствии с Инструкцией по определению сельских населенных пунктов с низким и высоким экономическим потенциалом, согласно приложения к настоящим Критериям.</w:t>
      </w:r>
    </w:p>
    <w:bookmarkEnd w:id="2"/>
    <w:bookmarkStart w:name="z1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по определению</w:t>
      </w:r>
      <w:r>
        <w:br/>
      </w:r>
      <w:r>
        <w:rPr>
          <w:rFonts w:ascii="Times New Roman"/>
          <w:b w:val="false"/>
          <w:i w:val="false"/>
          <w:color w:val="000000"/>
          <w:sz w:val="28"/>
        </w:rPr>
        <w:t>
сельских населенных пунктов</w:t>
      </w:r>
      <w:r>
        <w:br/>
      </w:r>
      <w:r>
        <w:rPr>
          <w:rFonts w:ascii="Times New Roman"/>
          <w:b w:val="false"/>
          <w:i w:val="false"/>
          <w:color w:val="000000"/>
          <w:sz w:val="28"/>
        </w:rPr>
        <w:t xml:space="preserve">
с низким и высоким    </w:t>
      </w:r>
      <w:r>
        <w:br/>
      </w:r>
      <w:r>
        <w:rPr>
          <w:rFonts w:ascii="Times New Roman"/>
          <w:b w:val="false"/>
          <w:i w:val="false"/>
          <w:color w:val="000000"/>
          <w:sz w:val="28"/>
        </w:rPr>
        <w:t>
экономическим потенциалом</w:t>
      </w:r>
    </w:p>
    <w:bookmarkEnd w:id="3"/>
    <w:bookmarkStart w:name="z15" w:id="4"/>
    <w:p>
      <w:pPr>
        <w:spacing w:after="0"/>
        <w:ind w:left="0"/>
        <w:jc w:val="left"/>
      </w:pPr>
      <w:r>
        <w:rPr>
          <w:rFonts w:ascii="Times New Roman"/>
          <w:b/>
          <w:i w:val="false"/>
          <w:color w:val="000000"/>
        </w:rPr>
        <w:t xml:space="preserve"> 
Инструкция</w:t>
      </w:r>
      <w:r>
        <w:br/>
      </w:r>
      <w:r>
        <w:rPr>
          <w:rFonts w:ascii="Times New Roman"/>
          <w:b/>
          <w:i w:val="false"/>
          <w:color w:val="000000"/>
        </w:rPr>
        <w:t>
по определению сельских населенных пунктов</w:t>
      </w:r>
      <w:r>
        <w:br/>
      </w:r>
      <w:r>
        <w:rPr>
          <w:rFonts w:ascii="Times New Roman"/>
          <w:b/>
          <w:i w:val="false"/>
          <w:color w:val="000000"/>
        </w:rPr>
        <w:t>
с низким и высоким экономическим потенциалом</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1. Инструкция по определению сельских населенных пунктов (далее - СНП) с низким и высоким экономическим потенциалом (далее - Инструкция) разработана и предназначена для осуществления комплексной оценки уровня социально-экономического развития СНП, выявления потенциала в целях улучшения условий проживания жителей, а также для использования при подготовке управленческих решений местными исполнительными органами по вопросам дальнейшего развития населенных пунктов соответствующих территорий.</w:t>
      </w:r>
    </w:p>
    <w:bookmarkEnd w:id="6"/>
    <w:bookmarkStart w:name="z18" w:id="7"/>
    <w:p>
      <w:pPr>
        <w:spacing w:after="0"/>
        <w:ind w:left="0"/>
        <w:jc w:val="left"/>
      </w:pPr>
      <w:r>
        <w:rPr>
          <w:rFonts w:ascii="Times New Roman"/>
          <w:b/>
          <w:i w:val="false"/>
          <w:color w:val="000000"/>
        </w:rPr>
        <w:t xml:space="preserve"> 
2. Источники информации</w:t>
      </w:r>
    </w:p>
    <w:bookmarkEnd w:id="7"/>
    <w:bookmarkStart w:name="z19" w:id="8"/>
    <w:p>
      <w:pPr>
        <w:spacing w:after="0"/>
        <w:ind w:left="0"/>
        <w:jc w:val="both"/>
      </w:pPr>
      <w:r>
        <w:rPr>
          <w:rFonts w:ascii="Times New Roman"/>
          <w:b w:val="false"/>
          <w:i w:val="false"/>
          <w:color w:val="000000"/>
          <w:sz w:val="28"/>
        </w:rPr>
        <w:t>
      2. Источниками информации для проведения комплексной оценки уровня социально-экономического развития СНП Республики Казахстан является:</w:t>
      </w:r>
      <w:r>
        <w:br/>
      </w:r>
      <w:r>
        <w:rPr>
          <w:rFonts w:ascii="Times New Roman"/>
          <w:b w:val="false"/>
          <w:i w:val="false"/>
          <w:color w:val="000000"/>
          <w:sz w:val="28"/>
        </w:rPr>
        <w:t>
</w:t>
      </w:r>
      <w:r>
        <w:rPr>
          <w:rFonts w:ascii="Times New Roman"/>
          <w:b w:val="false"/>
          <w:i w:val="false"/>
          <w:color w:val="000000"/>
          <w:sz w:val="28"/>
        </w:rPr>
        <w:t>
      1) статистическая отчетность Агентства Республики Казахстан по статистике, департаментов статистики областей, управлений статистики районов;</w:t>
      </w:r>
      <w:r>
        <w:br/>
      </w:r>
      <w:r>
        <w:rPr>
          <w:rFonts w:ascii="Times New Roman"/>
          <w:b w:val="false"/>
          <w:i w:val="false"/>
          <w:color w:val="000000"/>
          <w:sz w:val="28"/>
        </w:rPr>
        <w:t>
</w:t>
      </w:r>
      <w:r>
        <w:rPr>
          <w:rFonts w:ascii="Times New Roman"/>
          <w:b w:val="false"/>
          <w:i w:val="false"/>
          <w:color w:val="000000"/>
          <w:sz w:val="28"/>
        </w:rPr>
        <w:t>
      2) информация, полученная от местных исполнительных органов, министерств, агентств и ведомств;</w:t>
      </w:r>
      <w:r>
        <w:br/>
      </w:r>
      <w:r>
        <w:rPr>
          <w:rFonts w:ascii="Times New Roman"/>
          <w:b w:val="false"/>
          <w:i w:val="false"/>
          <w:color w:val="000000"/>
          <w:sz w:val="28"/>
        </w:rPr>
        <w:t>
</w:t>
      </w:r>
      <w:r>
        <w:rPr>
          <w:rFonts w:ascii="Times New Roman"/>
          <w:b w:val="false"/>
          <w:i w:val="false"/>
          <w:color w:val="000000"/>
          <w:sz w:val="28"/>
        </w:rPr>
        <w:t>
      3) данные ведомственных статиститических наблюдений;</w:t>
      </w:r>
      <w:r>
        <w:br/>
      </w:r>
      <w:r>
        <w:rPr>
          <w:rFonts w:ascii="Times New Roman"/>
          <w:b w:val="false"/>
          <w:i w:val="false"/>
          <w:color w:val="000000"/>
          <w:sz w:val="28"/>
        </w:rPr>
        <w:t>
</w:t>
      </w:r>
      <w:r>
        <w:rPr>
          <w:rFonts w:ascii="Times New Roman"/>
          <w:b w:val="false"/>
          <w:i w:val="false"/>
          <w:color w:val="000000"/>
          <w:sz w:val="28"/>
        </w:rPr>
        <w:t>
      4) результаты социологических опросов.</w:t>
      </w:r>
    </w:p>
    <w:bookmarkEnd w:id="8"/>
    <w:bookmarkStart w:name="z24" w:id="9"/>
    <w:p>
      <w:pPr>
        <w:spacing w:after="0"/>
        <w:ind w:left="0"/>
        <w:jc w:val="left"/>
      </w:pPr>
      <w:r>
        <w:rPr>
          <w:rFonts w:ascii="Times New Roman"/>
          <w:b/>
          <w:i w:val="false"/>
          <w:color w:val="000000"/>
        </w:rPr>
        <w:t xml:space="preserve"> 
3. Критерии определения сельских населенных пунктов</w:t>
      </w:r>
      <w:r>
        <w:br/>
      </w:r>
      <w:r>
        <w:rPr>
          <w:rFonts w:ascii="Times New Roman"/>
          <w:b/>
          <w:i w:val="false"/>
          <w:color w:val="000000"/>
        </w:rPr>
        <w:t>
с низким и высоким экономическим потенциалом</w:t>
      </w:r>
    </w:p>
    <w:bookmarkEnd w:id="9"/>
    <w:bookmarkStart w:name="z25" w:id="10"/>
    <w:p>
      <w:pPr>
        <w:spacing w:after="0"/>
        <w:ind w:left="0"/>
        <w:jc w:val="both"/>
      </w:pPr>
      <w:r>
        <w:rPr>
          <w:rFonts w:ascii="Times New Roman"/>
          <w:b w:val="false"/>
          <w:i w:val="false"/>
          <w:color w:val="000000"/>
          <w:sz w:val="28"/>
        </w:rPr>
        <w:t>
      3. Важнейшими классификационными факторами, оценивающими экономический потенциал СНП и их перспективность, определены 4 блока критериев: экономический, а также инженерно-инфраструктурный, социальный и экологический, дополняющие собственно экономические критерии, которые включают 21 совокупный показатель.</w:t>
      </w:r>
      <w:r>
        <w:br/>
      </w:r>
      <w:r>
        <w:rPr>
          <w:rFonts w:ascii="Times New Roman"/>
          <w:b w:val="false"/>
          <w:i w:val="false"/>
          <w:color w:val="000000"/>
          <w:sz w:val="28"/>
        </w:rPr>
        <w:t>
</w:t>
      </w:r>
      <w:r>
        <w:rPr>
          <w:rFonts w:ascii="Times New Roman"/>
          <w:b w:val="false"/>
          <w:i w:val="false"/>
          <w:color w:val="000000"/>
          <w:sz w:val="28"/>
        </w:rPr>
        <w:t>
      4. С учетом приоритетов экономического развития при оценке потенциала СНП каждому из показателей установлен вес, который характеризует их значимость в сумме совокупного количества баллов. Наибольший вес имеют показатели экономического блока - суммарный наивысший балл 60, показатели инженерно-инфраструктурного блока не превышают 30 баллов, характеристики социального блока имеют вес до 10 баллов. Влияние на уровень развития СНП экологического блока оценивается через поправочные коэффициенты, на которые умножаются баллы, полученные по первым трем блокам.</w:t>
      </w:r>
      <w:r>
        <w:br/>
      </w:r>
      <w:r>
        <w:rPr>
          <w:rFonts w:ascii="Times New Roman"/>
          <w:b w:val="false"/>
          <w:i w:val="false"/>
          <w:color w:val="000000"/>
          <w:sz w:val="28"/>
        </w:rPr>
        <w:t>
</w:t>
      </w:r>
      <w:r>
        <w:rPr>
          <w:rFonts w:ascii="Times New Roman"/>
          <w:b w:val="false"/>
          <w:i w:val="false"/>
          <w:color w:val="000000"/>
          <w:sz w:val="28"/>
        </w:rPr>
        <w:t>
      5. Классификационные факторы экономического блока:</w:t>
      </w:r>
      <w:r>
        <w:br/>
      </w:r>
      <w:r>
        <w:rPr>
          <w:rFonts w:ascii="Times New Roman"/>
          <w:b w:val="false"/>
          <w:i w:val="false"/>
          <w:color w:val="000000"/>
          <w:sz w:val="28"/>
        </w:rPr>
        <w:t>
</w:t>
      </w:r>
      <w:r>
        <w:rPr>
          <w:rFonts w:ascii="Times New Roman"/>
          <w:b w:val="false"/>
          <w:i w:val="false"/>
          <w:color w:val="000000"/>
          <w:sz w:val="28"/>
        </w:rPr>
        <w:t>
      1) "плодородие почвы" - 12 баллов. Качество и потенциальное плодородие почвы характеризует бонитировка пашни, выраженная в баллах бонитета, который может иметь значение от 1 до 100. Пороговые значения показателя установлены в соответствии с данными Агентства Республики Казахстан по управлению земельными ресурсами и предполагают градацию качества почвенного слоя с шагом в 10 баллов, от показателя "менее 15 баллов" до наибольшего в республике "более 45 баллов";</w:t>
      </w:r>
      <w:r>
        <w:br/>
      </w:r>
      <w:r>
        <w:rPr>
          <w:rFonts w:ascii="Times New Roman"/>
          <w:b w:val="false"/>
          <w:i w:val="false"/>
          <w:color w:val="000000"/>
          <w:sz w:val="28"/>
        </w:rPr>
        <w:t>
</w:t>
      </w:r>
      <w:r>
        <w:rPr>
          <w:rFonts w:ascii="Times New Roman"/>
          <w:b w:val="false"/>
          <w:i w:val="false"/>
          <w:color w:val="000000"/>
          <w:sz w:val="28"/>
        </w:rPr>
        <w:t>
      2) "степень удаленности от рынков сбыта" - 9 баллов. Расстояние от СНП до районного центра, железнодорожной станции, города можно использовать, как основание для показателя доступности рынков сбыта. За низкий порог принято расстояние, равное 20 км и менее, оцененное в 9 баллов. Размер шага составляет 40 км, а за наименьшее пороговое значение показателя принято расстояние, равное 100 км и более;</w:t>
      </w:r>
      <w:r>
        <w:br/>
      </w:r>
      <w:r>
        <w:rPr>
          <w:rFonts w:ascii="Times New Roman"/>
          <w:b w:val="false"/>
          <w:i w:val="false"/>
          <w:color w:val="000000"/>
          <w:sz w:val="28"/>
        </w:rPr>
        <w:t>
</w:t>
      </w:r>
      <w:r>
        <w:rPr>
          <w:rFonts w:ascii="Times New Roman"/>
          <w:b w:val="false"/>
          <w:i w:val="false"/>
          <w:color w:val="000000"/>
          <w:sz w:val="28"/>
        </w:rPr>
        <w:t>
      3) "предпринимательская активность" - 5 баллов. Определяет уровень экономической активности населения на конкретной сельской территории, вычисляется соотнесением количества хозяйствующих субъектов на 100 жителей. Пошаговая вариация пороговых значений данного показателя колеблется от 1 до 5 и более;</w:t>
      </w:r>
      <w:r>
        <w:br/>
      </w:r>
      <w:r>
        <w:rPr>
          <w:rFonts w:ascii="Times New Roman"/>
          <w:b w:val="false"/>
          <w:i w:val="false"/>
          <w:color w:val="000000"/>
          <w:sz w:val="28"/>
        </w:rPr>
        <w:t>
</w:t>
      </w:r>
      <w:r>
        <w:rPr>
          <w:rFonts w:ascii="Times New Roman"/>
          <w:b w:val="false"/>
          <w:i w:val="false"/>
          <w:color w:val="000000"/>
          <w:sz w:val="28"/>
        </w:rPr>
        <w:t xml:space="preserve">
      4) "развитие переработки сельхозпродукции" - 5 баллов. Характеризует возможности роста добавленной стоимости на соответствующей территории и определяется наличием объектов переработки сельхозпродукции. Пороговые значения показателя варьируют от 0 до более 4 перерабатывающих цехов в одном СНП; </w:t>
      </w:r>
      <w:r>
        <w:br/>
      </w:r>
      <w:r>
        <w:rPr>
          <w:rFonts w:ascii="Times New Roman"/>
          <w:b w:val="false"/>
          <w:i w:val="false"/>
          <w:color w:val="000000"/>
          <w:sz w:val="28"/>
        </w:rPr>
        <w:t>
</w:t>
      </w:r>
      <w:r>
        <w:rPr>
          <w:rFonts w:ascii="Times New Roman"/>
          <w:b w:val="false"/>
          <w:i w:val="false"/>
          <w:color w:val="000000"/>
          <w:sz w:val="28"/>
        </w:rPr>
        <w:t xml:space="preserve">
      5) "обеспеченность сельскохозяйственной техникой" - 8 баллов. Подразделяется на два показателя: количество тракторов на 100 га пашни и количество комбайнов на 100 га пашни. Величина пороговых значений - определена отклонениями от нормативной нагрузки га/1 трактор - 200 и га/1 комбайн - 300; </w:t>
      </w:r>
      <w:r>
        <w:br/>
      </w:r>
      <w:r>
        <w:rPr>
          <w:rFonts w:ascii="Times New Roman"/>
          <w:b w:val="false"/>
          <w:i w:val="false"/>
          <w:color w:val="000000"/>
          <w:sz w:val="28"/>
        </w:rPr>
        <w:t>
</w:t>
      </w:r>
      <w:r>
        <w:rPr>
          <w:rFonts w:ascii="Times New Roman"/>
          <w:b w:val="false"/>
          <w:i w:val="false"/>
          <w:color w:val="000000"/>
          <w:sz w:val="28"/>
        </w:rPr>
        <w:t xml:space="preserve">
      6) "использование ирригационных систем". Возможности по развитию орошаемого земледелия отражают наличие и использование ирригационных систем. Поливные земли в состоянии обеспечить доходы гораздо большему количеству сельского населения, чем богарное земледелие. Территории, где имеются и используются ирригационные системы, оцениваются в 7 баллов, а не имеющие - 0; </w:t>
      </w:r>
      <w:r>
        <w:br/>
      </w:r>
      <w:r>
        <w:rPr>
          <w:rFonts w:ascii="Times New Roman"/>
          <w:b w:val="false"/>
          <w:i w:val="false"/>
          <w:color w:val="000000"/>
          <w:sz w:val="28"/>
        </w:rPr>
        <w:t>
</w:t>
      </w:r>
      <w:r>
        <w:rPr>
          <w:rFonts w:ascii="Times New Roman"/>
          <w:b w:val="false"/>
          <w:i w:val="false"/>
          <w:color w:val="000000"/>
          <w:sz w:val="28"/>
        </w:rPr>
        <w:t xml:space="preserve">
      7) "пашня" - 7 баллов. Определяет возможности развития земледелия. Пороговые значения определяются отклонением величины пашни на одного сельского жителя от средней величины этого показателя по республике, равного 5 га на 1 сельского жителя; </w:t>
      </w:r>
      <w:r>
        <w:br/>
      </w:r>
      <w:r>
        <w:rPr>
          <w:rFonts w:ascii="Times New Roman"/>
          <w:b w:val="false"/>
          <w:i w:val="false"/>
          <w:color w:val="000000"/>
          <w:sz w:val="28"/>
        </w:rPr>
        <w:t>
</w:t>
      </w:r>
      <w:r>
        <w:rPr>
          <w:rFonts w:ascii="Times New Roman"/>
          <w:b w:val="false"/>
          <w:i w:val="false"/>
          <w:color w:val="000000"/>
          <w:sz w:val="28"/>
        </w:rPr>
        <w:t>
      8) "пастбища" - 7 баллов, характеризует фактическую кормообеспеченность и рассчитывается на основе нормативной загрузки пастбищ - 3-4 головы КРС на 1 га. За пороговые значения приняты отклонения от нормативного показателя.</w:t>
      </w:r>
      <w:r>
        <w:br/>
      </w:r>
      <w:r>
        <w:rPr>
          <w:rFonts w:ascii="Times New Roman"/>
          <w:b w:val="false"/>
          <w:i w:val="false"/>
          <w:color w:val="000000"/>
          <w:sz w:val="28"/>
        </w:rPr>
        <w:t>
</w:t>
      </w:r>
      <w:r>
        <w:rPr>
          <w:rFonts w:ascii="Times New Roman"/>
          <w:b w:val="false"/>
          <w:i w:val="false"/>
          <w:color w:val="000000"/>
          <w:sz w:val="28"/>
        </w:rPr>
        <w:t>
      6. Классификационные факторы инженерно-инфраструктурного блока:</w:t>
      </w:r>
      <w:r>
        <w:br/>
      </w:r>
      <w:r>
        <w:rPr>
          <w:rFonts w:ascii="Times New Roman"/>
          <w:b w:val="false"/>
          <w:i w:val="false"/>
          <w:color w:val="000000"/>
          <w:sz w:val="28"/>
        </w:rPr>
        <w:t>
</w:t>
      </w:r>
      <w:r>
        <w:rPr>
          <w:rFonts w:ascii="Times New Roman"/>
          <w:b w:val="false"/>
          <w:i w:val="false"/>
          <w:color w:val="000000"/>
          <w:sz w:val="28"/>
        </w:rPr>
        <w:t xml:space="preserve">
      1) "водоснабжение" - 5 баллов. Оценка состояния системы водоснабжения проводится по тому, из каких источников берется вода для потребления населением. Величина порогов по системе водоснабжения колеблется от 5 баллов в СНП, имеющих водопровод, до 0 баллов в СНП, пользующихся привозной водой; </w:t>
      </w:r>
      <w:r>
        <w:br/>
      </w:r>
      <w:r>
        <w:rPr>
          <w:rFonts w:ascii="Times New Roman"/>
          <w:b w:val="false"/>
          <w:i w:val="false"/>
          <w:color w:val="000000"/>
          <w:sz w:val="28"/>
        </w:rPr>
        <w:t>
</w:t>
      </w:r>
      <w:r>
        <w:rPr>
          <w:rFonts w:ascii="Times New Roman"/>
          <w:b w:val="false"/>
          <w:i w:val="false"/>
          <w:color w:val="000000"/>
          <w:sz w:val="28"/>
        </w:rPr>
        <w:t>
      2) "балансодержатель водопровода" - 2 балла. Определяет качество обслуживания водопроводной сети в СНП. Пороговые значения определяются наличием эксплуатирующего предприятия в СНП - 2 балла, на балансе акима сельского округа - 0 баллов;</w:t>
      </w:r>
      <w:r>
        <w:br/>
      </w:r>
      <w:r>
        <w:rPr>
          <w:rFonts w:ascii="Times New Roman"/>
          <w:b w:val="false"/>
          <w:i w:val="false"/>
          <w:color w:val="000000"/>
          <w:sz w:val="28"/>
        </w:rPr>
        <w:t>
</w:t>
      </w:r>
      <w:r>
        <w:rPr>
          <w:rFonts w:ascii="Times New Roman"/>
          <w:b w:val="false"/>
          <w:i w:val="false"/>
          <w:color w:val="000000"/>
          <w:sz w:val="28"/>
        </w:rPr>
        <w:t>
      3) "дорога" - 7 баллов. Для оценки дорожной инфраструктуры принят процент автомобильных дорог с твердым покрытием от СНП до райцентра. Пороговое значение определяется 100 % с твердым покрытием, далее пошаговое значение по 25 %;</w:t>
      </w:r>
      <w:r>
        <w:br/>
      </w:r>
      <w:r>
        <w:rPr>
          <w:rFonts w:ascii="Times New Roman"/>
          <w:b w:val="false"/>
          <w:i w:val="false"/>
          <w:color w:val="000000"/>
          <w:sz w:val="28"/>
        </w:rPr>
        <w:t>
</w:t>
      </w:r>
      <w:r>
        <w:rPr>
          <w:rFonts w:ascii="Times New Roman"/>
          <w:b w:val="false"/>
          <w:i w:val="false"/>
          <w:color w:val="000000"/>
          <w:sz w:val="28"/>
        </w:rPr>
        <w:t>
      4) "газоснабжение" - 3 балла. Пороговые значения определяются наличием или отсутствием газификации СНП (газифицированные СНП - 3 балла, не - газифицированные - 0);</w:t>
      </w:r>
      <w:r>
        <w:br/>
      </w:r>
      <w:r>
        <w:rPr>
          <w:rFonts w:ascii="Times New Roman"/>
          <w:b w:val="false"/>
          <w:i w:val="false"/>
          <w:color w:val="000000"/>
          <w:sz w:val="28"/>
        </w:rPr>
        <w:t>
</w:t>
      </w:r>
      <w:r>
        <w:rPr>
          <w:rFonts w:ascii="Times New Roman"/>
          <w:b w:val="false"/>
          <w:i w:val="false"/>
          <w:color w:val="000000"/>
          <w:sz w:val="28"/>
        </w:rPr>
        <w:t>
      5) "электроэнергия" - 7 баллов. Важнейший показатель уровня жизни населения и экономической активности территории. Пороговые значения определяются обеспеченностью или необеспеченностью СНП электроэнергией;</w:t>
      </w:r>
      <w:r>
        <w:br/>
      </w:r>
      <w:r>
        <w:rPr>
          <w:rFonts w:ascii="Times New Roman"/>
          <w:b w:val="false"/>
          <w:i w:val="false"/>
          <w:color w:val="000000"/>
          <w:sz w:val="28"/>
        </w:rPr>
        <w:t>
</w:t>
      </w:r>
      <w:r>
        <w:rPr>
          <w:rFonts w:ascii="Times New Roman"/>
          <w:b w:val="false"/>
          <w:i w:val="false"/>
          <w:color w:val="000000"/>
          <w:sz w:val="28"/>
        </w:rPr>
        <w:t>
      6) "связь" (телефонная) - 6 баллов. Определяется уровнем телефонизации СНП. Пороговые значения показателя определяются плотностью абонентской сети с шагом 2 балла: наличие АТС - 6 баллов, от 1 до 5 номеров - 4 балла, 1 номер - 2 балла и отсутствие связи - 0 баллов.</w:t>
      </w:r>
      <w:r>
        <w:br/>
      </w:r>
      <w:r>
        <w:rPr>
          <w:rFonts w:ascii="Times New Roman"/>
          <w:b w:val="false"/>
          <w:i w:val="false"/>
          <w:color w:val="000000"/>
          <w:sz w:val="28"/>
        </w:rPr>
        <w:t>
</w:t>
      </w:r>
      <w:r>
        <w:rPr>
          <w:rFonts w:ascii="Times New Roman"/>
          <w:b w:val="false"/>
          <w:i w:val="false"/>
          <w:color w:val="000000"/>
          <w:sz w:val="28"/>
        </w:rPr>
        <w:t>
      7. Классификационные факторы социального блока:</w:t>
      </w:r>
      <w:r>
        <w:br/>
      </w:r>
      <w:r>
        <w:rPr>
          <w:rFonts w:ascii="Times New Roman"/>
          <w:b w:val="false"/>
          <w:i w:val="false"/>
          <w:color w:val="000000"/>
          <w:sz w:val="28"/>
        </w:rPr>
        <w:t>
</w:t>
      </w:r>
      <w:r>
        <w:rPr>
          <w:rFonts w:ascii="Times New Roman"/>
          <w:b w:val="false"/>
          <w:i w:val="false"/>
          <w:color w:val="000000"/>
          <w:sz w:val="28"/>
        </w:rPr>
        <w:t>
      1) "образование" - 3 балла.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декабря 2007 года № 1256 "О гарантированном государственном нормативе сети организаций образования" утверждены государственные нормативы и стандарты по развитию сельского образования.</w:t>
      </w:r>
      <w:r>
        <w:br/>
      </w:r>
      <w:r>
        <w:rPr>
          <w:rFonts w:ascii="Times New Roman"/>
          <w:b w:val="false"/>
          <w:i w:val="false"/>
          <w:color w:val="000000"/>
          <w:sz w:val="28"/>
        </w:rPr>
        <w:t>
</w:t>
      </w:r>
      <w:r>
        <w:rPr>
          <w:rFonts w:ascii="Times New Roman"/>
          <w:b w:val="false"/>
          <w:i w:val="false"/>
          <w:color w:val="000000"/>
          <w:sz w:val="28"/>
        </w:rPr>
        <w:t>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 а также отдаленности организаций образования более чем на 3 км от СНП, где постоянно проживают учащиеся школьного возраста;</w:t>
      </w:r>
      <w:r>
        <w:br/>
      </w:r>
      <w:r>
        <w:rPr>
          <w:rFonts w:ascii="Times New Roman"/>
          <w:b w:val="false"/>
          <w:i w:val="false"/>
          <w:color w:val="000000"/>
          <w:sz w:val="28"/>
        </w:rPr>
        <w:t>
</w:t>
      </w:r>
      <w:r>
        <w:rPr>
          <w:rFonts w:ascii="Times New Roman"/>
          <w:b w:val="false"/>
          <w:i w:val="false"/>
          <w:color w:val="000000"/>
          <w:sz w:val="28"/>
        </w:rPr>
        <w:t>
      2) "здравоохранение" - 3 балла.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2131 "Об утверждении государственного норматива сети организации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w:t>
      </w:r>
      <w:r>
        <w:br/>
      </w:r>
      <w:r>
        <w:rPr>
          <w:rFonts w:ascii="Times New Roman"/>
          <w:b w:val="false"/>
          <w:i w:val="false"/>
          <w:color w:val="000000"/>
          <w:sz w:val="28"/>
        </w:rPr>
        <w:t>
</w:t>
      </w:r>
      <w:r>
        <w:rPr>
          <w:rFonts w:ascii="Times New Roman"/>
          <w:b w:val="false"/>
          <w:i w:val="false"/>
          <w:color w:val="000000"/>
          <w:sz w:val="28"/>
        </w:rPr>
        <w:t>
      3) "занятость" - 3 балла. Характеризует соотношение количества занятых в СНП к 100 человек экономически активного населения и сравнивается со среднеобластным показателем на соответствие или несоответствие;</w:t>
      </w:r>
      <w:r>
        <w:br/>
      </w:r>
      <w:r>
        <w:rPr>
          <w:rFonts w:ascii="Times New Roman"/>
          <w:b w:val="false"/>
          <w:i w:val="false"/>
          <w:color w:val="000000"/>
          <w:sz w:val="28"/>
        </w:rPr>
        <w:t>
</w:t>
      </w:r>
      <w:r>
        <w:rPr>
          <w:rFonts w:ascii="Times New Roman"/>
          <w:b w:val="false"/>
          <w:i w:val="false"/>
          <w:color w:val="000000"/>
          <w:sz w:val="28"/>
        </w:rPr>
        <w:t>
      4) "бедность" - 1 балл. Характеризует соотношение получателей адресной социальной помощи на 100 жителей села и сравнивается со среднеобластным показателем на соответствие или несоответствие.</w:t>
      </w:r>
      <w:r>
        <w:br/>
      </w:r>
      <w:r>
        <w:rPr>
          <w:rFonts w:ascii="Times New Roman"/>
          <w:b w:val="false"/>
          <w:i w:val="false"/>
          <w:color w:val="000000"/>
          <w:sz w:val="28"/>
        </w:rPr>
        <w:t>
</w:t>
      </w:r>
      <w:r>
        <w:rPr>
          <w:rFonts w:ascii="Times New Roman"/>
          <w:b w:val="false"/>
          <w:i w:val="false"/>
          <w:color w:val="000000"/>
          <w:sz w:val="28"/>
        </w:rPr>
        <w:t>
      8. Экологический блок распределен по показателям:</w:t>
      </w:r>
      <w:r>
        <w:br/>
      </w:r>
      <w:r>
        <w:rPr>
          <w:rFonts w:ascii="Times New Roman"/>
          <w:b w:val="false"/>
          <w:i w:val="false"/>
          <w:color w:val="000000"/>
          <w:sz w:val="28"/>
        </w:rPr>
        <w:t>
</w:t>
      </w:r>
      <w:r>
        <w:rPr>
          <w:rFonts w:ascii="Times New Roman"/>
          <w:b w:val="false"/>
          <w:i w:val="false"/>
          <w:color w:val="000000"/>
          <w:sz w:val="28"/>
        </w:rPr>
        <w:t xml:space="preserve">
      1) "радиационный фон". Единица измерения - мкЗв/ч. Показателем, характеризующим состояние радиационного фона на территории населенных мест, является мощность экспозиционной дозы внешнего гамма-излучения (МЭД), которая не должна превышать 0,3 мкЗв/час. </w:t>
      </w:r>
      <w:r>
        <w:br/>
      </w:r>
      <w:r>
        <w:rPr>
          <w:rFonts w:ascii="Times New Roman"/>
          <w:b w:val="false"/>
          <w:i w:val="false"/>
          <w:color w:val="000000"/>
          <w:sz w:val="28"/>
        </w:rPr>
        <w:t>
</w:t>
      </w:r>
      <w:r>
        <w:rPr>
          <w:rFonts w:ascii="Times New Roman"/>
          <w:b w:val="false"/>
          <w:i w:val="false"/>
          <w:color w:val="000000"/>
          <w:sz w:val="28"/>
        </w:rPr>
        <w:t xml:space="preserve">
      СНП с уровнем радиационного фона, превышающим 0,3 мкЗв/ч, переносятся в группу населенных пунктов с особо неблагоприятными экологическими условиями, несмотря на то, что по другим показателям они относились к имеющим высокий потенциал; </w:t>
      </w:r>
      <w:r>
        <w:br/>
      </w:r>
      <w:r>
        <w:rPr>
          <w:rFonts w:ascii="Times New Roman"/>
          <w:b w:val="false"/>
          <w:i w:val="false"/>
          <w:color w:val="000000"/>
          <w:sz w:val="28"/>
        </w:rPr>
        <w:t>
</w:t>
      </w:r>
      <w:r>
        <w:rPr>
          <w:rFonts w:ascii="Times New Roman"/>
          <w:b w:val="false"/>
          <w:i w:val="false"/>
          <w:color w:val="000000"/>
          <w:sz w:val="28"/>
        </w:rPr>
        <w:t>
      2) "засоленность почв". Одним из факторов оценки земли является засоленность почв, измеряемой по концентрации соли в грунте. Пороговые значения определены с шагом коэффициента 0,25: слабозасоленные - 1 балл, среднезасоленные - 0,75 баллов, сильнозасоленные - 0,25 баллов, очень сильнозасоленные - 0 баллов;</w:t>
      </w:r>
      <w:r>
        <w:br/>
      </w:r>
      <w:r>
        <w:rPr>
          <w:rFonts w:ascii="Times New Roman"/>
          <w:b w:val="false"/>
          <w:i w:val="false"/>
          <w:color w:val="000000"/>
          <w:sz w:val="28"/>
        </w:rPr>
        <w:t>
</w:t>
      </w:r>
      <w:r>
        <w:rPr>
          <w:rFonts w:ascii="Times New Roman"/>
          <w:b w:val="false"/>
          <w:i w:val="false"/>
          <w:color w:val="000000"/>
          <w:sz w:val="28"/>
        </w:rPr>
        <w:t>
      3) "качество воды". Для характеристики качества и пригодности воды для потребления берется уровень ее минерализации. Предельно допустимая концентрация (ПДК) минеральных солей (сухого остатка) в питьевой воде составляет 1 (1,5) г/л.</w:t>
      </w:r>
      <w:r>
        <w:br/>
      </w:r>
      <w:r>
        <w:rPr>
          <w:rFonts w:ascii="Times New Roman"/>
          <w:b w:val="false"/>
          <w:i w:val="false"/>
          <w:color w:val="000000"/>
          <w:sz w:val="28"/>
        </w:rPr>
        <w:t>
</w:t>
      </w:r>
      <w:r>
        <w:rPr>
          <w:rFonts w:ascii="Times New Roman"/>
          <w:b w:val="false"/>
          <w:i w:val="false"/>
          <w:color w:val="000000"/>
          <w:sz w:val="28"/>
        </w:rPr>
        <w:t>
      9. Показатели по всем классификационным факторам определяются в баллах в разрезе каждого СНП.</w:t>
      </w:r>
      <w:r>
        <w:br/>
      </w:r>
      <w:r>
        <w:rPr>
          <w:rFonts w:ascii="Times New Roman"/>
          <w:b w:val="false"/>
          <w:i w:val="false"/>
          <w:color w:val="000000"/>
          <w:sz w:val="28"/>
        </w:rPr>
        <w:t>
</w:t>
      </w:r>
      <w:r>
        <w:rPr>
          <w:rFonts w:ascii="Times New Roman"/>
          <w:b w:val="false"/>
          <w:i w:val="false"/>
          <w:color w:val="000000"/>
          <w:sz w:val="28"/>
        </w:rPr>
        <w:t>
      10. Сумма баллов СНП, набранная по трем блокам критериев, умножается на поправочный коэффициент по экологическому блоку и определяет совокупный балл, характеризующий экономический потенциал сельского населенного пункта.</w:t>
      </w:r>
      <w:r>
        <w:br/>
      </w:r>
      <w:r>
        <w:rPr>
          <w:rFonts w:ascii="Times New Roman"/>
          <w:b w:val="false"/>
          <w:i w:val="false"/>
          <w:color w:val="000000"/>
          <w:sz w:val="28"/>
        </w:rPr>
        <w:t>
</w:t>
      </w:r>
      <w:r>
        <w:rPr>
          <w:rFonts w:ascii="Times New Roman"/>
          <w:b w:val="false"/>
          <w:i w:val="false"/>
          <w:color w:val="000000"/>
          <w:sz w:val="28"/>
        </w:rPr>
        <w:t>
      11. На основании совокупной суммы баллов СНП группируются в три категории (типа):</w:t>
      </w:r>
      <w:r>
        <w:br/>
      </w:r>
      <w:r>
        <w:rPr>
          <w:rFonts w:ascii="Times New Roman"/>
          <w:b w:val="false"/>
          <w:i w:val="false"/>
          <w:color w:val="000000"/>
          <w:sz w:val="28"/>
        </w:rPr>
        <w:t>
</w:t>
      </w:r>
      <w:r>
        <w:rPr>
          <w:rFonts w:ascii="Times New Roman"/>
          <w:b w:val="false"/>
          <w:i w:val="false"/>
          <w:color w:val="000000"/>
          <w:sz w:val="28"/>
        </w:rPr>
        <w:t>
      1) СНП с высоким экономическим потенциалом развития - более 70 баллов;</w:t>
      </w:r>
      <w:r>
        <w:br/>
      </w:r>
      <w:r>
        <w:rPr>
          <w:rFonts w:ascii="Times New Roman"/>
          <w:b w:val="false"/>
          <w:i w:val="false"/>
          <w:color w:val="000000"/>
          <w:sz w:val="28"/>
        </w:rPr>
        <w:t>
</w:t>
      </w:r>
      <w:r>
        <w:rPr>
          <w:rFonts w:ascii="Times New Roman"/>
          <w:b w:val="false"/>
          <w:i w:val="false"/>
          <w:color w:val="000000"/>
          <w:sz w:val="28"/>
        </w:rPr>
        <w:t>
      2) СНП со средним экономическим потенциалом развития - 35-69 баллов;</w:t>
      </w:r>
      <w:r>
        <w:br/>
      </w:r>
      <w:r>
        <w:rPr>
          <w:rFonts w:ascii="Times New Roman"/>
          <w:b w:val="false"/>
          <w:i w:val="false"/>
          <w:color w:val="000000"/>
          <w:sz w:val="28"/>
        </w:rPr>
        <w:t>
</w:t>
      </w:r>
      <w:r>
        <w:rPr>
          <w:rFonts w:ascii="Times New Roman"/>
          <w:b w:val="false"/>
          <w:i w:val="false"/>
          <w:color w:val="000000"/>
          <w:sz w:val="28"/>
        </w:rPr>
        <w:t>
      3) СНП с низким экономическим потенциалом развития -1-34 балла.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