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b9f" w14:textId="cab3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2011 года № 235. Зарегистрирован в Министерстве юстиции Республики Казахстан 15 августа 2011 года № 7127. Утратил силу приказом Министра юстиции Республики Казахстан от 29 ноября 2012 года №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«Государственная регистрация (перерегистрация) юридических лиц, учетная регистрация (перерегистрация) их филиалов и представительств»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Регламент государственной услуги «Выдача справки из Государственной базы данных «Юридические лица»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Министра юстиции РК от 29.11.2012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29.11.2012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Сексембаева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Республики-Казахстан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июля 2011 года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прав (обременений)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4"/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зарегистрированных правах</w:t>
      </w:r>
      <w:r>
        <w:br/>
      </w:r>
      <w:r>
        <w:rPr>
          <w:rFonts w:ascii="Times New Roman"/>
          <w:b/>
          <w:i w:val="false"/>
          <w:color w:val="000000"/>
        </w:rPr>
        <w:t>
(обременениях)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 его технических характеристиках»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6"/>
    <w:bookmarkStart w:name="z1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8"/>
    <w:bookmarkStart w:name="z18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копий документов регистрационного дела,</w:t>
      </w:r>
      <w:r>
        <w:br/>
      </w:r>
      <w:r>
        <w:rPr>
          <w:rFonts w:ascii="Times New Roman"/>
          <w:b/>
          <w:i w:val="false"/>
          <w:color w:val="000000"/>
        </w:rPr>
        <w:t>
заверенных регистрирующим органом,</w:t>
      </w:r>
      <w:r>
        <w:br/>
      </w:r>
      <w:r>
        <w:rPr>
          <w:rFonts w:ascii="Times New Roman"/>
          <w:b/>
          <w:i w:val="false"/>
          <w:color w:val="000000"/>
        </w:rPr>
        <w:t>
включая план (схемы) объектов недвижимости»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2011 года № 235  </w:t>
      </w:r>
    </w:p>
    <w:bookmarkEnd w:id="10"/>
    <w:bookmarkStart w:name="z2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>
обязательной государственной регистрации»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12"/>
    <w:bookmarkStart w:name="z2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по залогу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 подлежащего обязательной государственной регистрации»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2011 года № 235 </w:t>
      </w:r>
    </w:p>
    <w:bookmarkEnd w:id="14"/>
    <w:bookmarkStart w:name="z3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свидетельства о регистрации залога</w:t>
      </w:r>
      <w:r>
        <w:br/>
      </w:r>
      <w:r>
        <w:rPr>
          <w:rFonts w:ascii="Times New Roman"/>
          <w:b/>
          <w:i w:val="false"/>
          <w:color w:val="000000"/>
        </w:rPr>
        <w:t>
движимого имущества, не подлежащего обязательной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2011 года № 235  </w:t>
      </w:r>
    </w:p>
    <w:bookmarkEnd w:id="16"/>
    <w:bookmarkStart w:name="z3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технического паспорта объектов недвижимости»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2011 года № 235 </w:t>
      </w:r>
    </w:p>
    <w:bookmarkEnd w:id="18"/>
    <w:bookmarkStart w:name="z4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актов гражданского состояния»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20"/>
    <w:bookmarkStart w:name="z4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повторных свидетельств или справок</w:t>
      </w:r>
      <w:r>
        <w:br/>
      </w:r>
      <w:r>
        <w:rPr>
          <w:rFonts w:ascii="Times New Roman"/>
          <w:b/>
          <w:i w:val="false"/>
          <w:color w:val="000000"/>
        </w:rPr>
        <w:t>
о регистрации актов гражданского состояния»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22"/>
    <w:bookmarkStart w:name="z5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
из органов юстиции и иных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от нотариусов Республики Казахстан»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исключено приказом Министра юстиции РК от 29.11.2012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24"/>
    <w:bookmarkStart w:name="z5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(перерегистрация) юридических лиц, учетная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(перерегистрация) их филиалов и представительств»</w:t>
      </w:r>
    </w:p>
    <w:bookmarkEnd w:id="25"/>
    <w:bookmarkStart w:name="z5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5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(перерегистрация) юридических лиц, учетная регистрация (перерегистрация) их филиалов и представительств»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«Государственная регистрация перерегистрация) юридических лиц, учетная регистрация (перерегистрация) их филиалов и представительств» (далее - государственная услуга) оказывается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регистрацию юридических лиц и учетную регистрацию филиалов и представительств осуществляют органы юстиции (за исключением юридических лиц - участников регионального финансового центра города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(перерегистрацию и регистрацию ликвидации): банков, общественных объединений с республиканским и региональным статусами (в том числе всех политических партий), филиалов и представительств иностранных и международных некоммерческих неправительственных объединений, религиозных объединений, религиозных управлений (центров), действующих на территории двух или более областей республики, а также образуемых ими духовных учебных заведений, монастырей и других объединений, учетная регистрация филиалов и представительств религиозных объединений осуществляет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регистрации юридических лиц и учетной регистрации филиалов и представительств», Инструкции по государственной регистрации юридических лиц и учетной регистрации филиалов и представительств,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за № 112, (зарегистрированной в Реестре государственной регистрации нормативных правовых актов за № 4625)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свидетельства о государственной регистрации (перерегистрации) юридического лица или об учетной регистрации (перерегистрации) филиалов и представительств с присвоенным бизнес-идентификационным номером и свидетельства налогоплательщика (регистрационный номер налогоплательщика), устава юридического лица с проставленным штампом регистрирующего органа о произведенной государственной регистрации (перерегистрации) юридического лица или об учетной регистрации (перерегистрации) филиалов и представительств либо приказа об отказе или перерыве срока государственной регистрации (перерегистрации) юридического лица, учетной регистрации (перерегистрации) филиала, представительства юридического лица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юридических лиц и учетной регистрации филиалов и представительств».</w:t>
      </w:r>
    </w:p>
    <w:bookmarkEnd w:id="27"/>
    <w:bookmarkStart w:name="z5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8"/>
    <w:bookmarkStart w:name="z5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 или Комитете адреса и графики работ,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«Государственная регистрация перерегистрация) юридических лиц, учетная регистрация (перерегистрация) их филиалов и представительств»,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потребителя, составляет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Комитетом, уполномоченным органом, Центром отказывается в случае представления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 заявлений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29"/>
    <w:bookmarkStart w:name="z5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5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«окон», на которых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соответствующих документов в Комитете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 Комитета либо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– экспертиза документов предоставленных на государственную (учетную) регистрацию (перерегистрацию) юридического лица,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6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регистрация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(перерегистрация)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учетная регистрация (перерегистрация)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филиалов и представительств   </w:t>
      </w:r>
    </w:p>
    <w:bookmarkEnd w:id="32"/>
    <w:bookmarkStart w:name="z6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33"/>
    <w:bookmarkStart w:name="z6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Описание действий СФЕ.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728"/>
        <w:gridCol w:w="2834"/>
        <w:gridCol w:w="3020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109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935"/>
        <w:gridCol w:w="2975"/>
        <w:gridCol w:w="3038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13"/>
        <w:gridCol w:w="3373"/>
        <w:gridCol w:w="36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113"/>
        <w:gridCol w:w="3113"/>
        <w:gridCol w:w="2913"/>
        <w:gridCol w:w="29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8"/>
        <w:gridCol w:w="4139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журнал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264"/>
        <w:gridCol w:w="2785"/>
        <w:gridCol w:w="3134"/>
        <w:gridCol w:w="27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2787"/>
        <w:gridCol w:w="2704"/>
        <w:gridCol w:w="2539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перерыве срока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(перерегистрация)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учетная регистрация (перерегистрация)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филиалов и представительств     </w:t>
      </w:r>
    </w:p>
    <w:bookmarkEnd w:id="37"/>
    <w:bookmarkStart w:name="z6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0485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39"/>
    <w:bookmarkStart w:name="z61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
регистрация прекращения деятельности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>
снятие с учетной регистрации филиала и представительства»</w:t>
      </w:r>
    </w:p>
    <w:bookmarkEnd w:id="40"/>
    <w:bookmarkStart w:name="z6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6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деятельности юридического лица, включает в себя проверку соответствия учредительных и других документов, представленных на регистрацию прекращения деятельности, законодательным актам Республики Казахстан, выдачу приказа регистрирующим органом о государственной регистрации прекращении деятельности юридического лица, либо приказа об отказе или перерыве срока государственной регистрации прекращении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Снятие с учетной регистрации филиала и представительства включает в себя проверку соответствия документов, представленных на снятие с учетной регистрации, законодательным актам Республики Казахстан, выдачу приказа о снятии с учетной регистрации филиала и представительства, либо приказа об отказе или перерыве срока о снятии с учетной регистрации филиала и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прекращения деятельности юридического лица, снятие с учетной регистрации филиала и представительства» (далее – государственная услуга) предоставляется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 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Гражданского 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юридических лиц и учетной регистрации филиалов и представительств»,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некоммерческих организациях», Инструкции по государственной регистрации юридических лиц и учетной регистрации филиалов и представительств,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за № 112, (зарегистрированной в Реестре государственной регистрации нормативных правовых актов за № 4625)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приказа о регистрации прекращения деятельности, либо об отказе в прекращении деятельности юридического лица, снятия с учетной регистрации филиала, представительства юридического лица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юридических лиц и учетной регистрации филиалов и представительств».</w:t>
      </w:r>
    </w:p>
    <w:bookmarkEnd w:id="42"/>
    <w:bookmarkStart w:name="z62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3"/>
    <w:bookmarkStart w:name="z6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 и Комитете адреса и графики работ,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определены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услуги, оказываемой на месте в день обращения потребителя, составляет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предоставление государственной услуги Комитетом, уполномоченным органом, Центром отказывается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 заявлений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44"/>
    <w:bookmarkStart w:name="z6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6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«окон», на которых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соответствующих документов в Комитете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 Комитета либо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архив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– экспертиза документов предоставленных на государственную регистрацию прекращения деятельности юридического лица, снятие с учетной регистрации филиала и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6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снятие с учетной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филиала и представительства»</w:t>
      </w:r>
    </w:p>
    <w:bookmarkEnd w:id="47"/>
    <w:bookmarkStart w:name="z6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48"/>
    <w:bookmarkStart w:name="z6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75"/>
        <w:gridCol w:w="2338"/>
        <w:gridCol w:w="2401"/>
        <w:gridCol w:w="2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13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 органа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662"/>
        <w:gridCol w:w="2861"/>
        <w:gridCol w:w="3009"/>
        <w:gridCol w:w="3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53"/>
        <w:gridCol w:w="3273"/>
        <w:gridCol w:w="33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113"/>
        <w:gridCol w:w="2413"/>
        <w:gridCol w:w="3153"/>
        <w:gridCol w:w="31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рующего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63"/>
        <w:gridCol w:w="3728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журнал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836"/>
        <w:gridCol w:w="2918"/>
        <w:gridCol w:w="3122"/>
        <w:gridCol w:w="2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532"/>
        <w:gridCol w:w="2533"/>
        <w:gridCol w:w="3286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перерыве срока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 реестру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снятие с учетной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филиала и представительства»</w:t>
      </w:r>
    </w:p>
    <w:bookmarkEnd w:id="52"/>
    <w:bookmarkStart w:name="z6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0485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54"/>
    <w:bookmarkStart w:name="z6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свидетельства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(перерегистрации) юридического лица и об учетной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(перерегистрации) филиала и представительства»</w:t>
      </w:r>
    </w:p>
    <w:bookmarkEnd w:id="55"/>
    <w:bookmarkStart w:name="z6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6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Дубликат свидетельства о государственной регистрации (перерегистрации) юридических лиц, филиалов и представительств является копией свидетельства о государственной регистрации (перерегистрации) юридических лиц, филиалов и представительств и учредительных документов, заверенная надлежащим образом, уполномоченным на то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(далее -государственная услуга) предоставляется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регистрации юридических лиц и учетной регистрации филиалов и представительств», Инструкции по государственной регистрации юридических лиц и учетной регистрации филиалов и представительств,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за № 112, (зарегистрированного в Реестре государственной регистрации нормативных правовых актов за № 4625)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15 декабря 2009 года № 2121 «Об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приказ руководителя уполномоченного органа о выдаче либо об отказе в выдаче дубликата свидетельства о государственной (учетной) регистрации (перерегистрации) юридических лиц, филиалов и представительств.</w:t>
      </w:r>
    </w:p>
    <w:bookmarkEnd w:id="57"/>
    <w:bookmarkStart w:name="z6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8"/>
    <w:bookmarkStart w:name="z6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 или Комитете адреса и графики работ,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дубликата свидетельства о государственной регистрации (перерегистрации) юридического лица и об учетной регистрации (перерегистрации) филиалов и представительств осуществляется в течение трех рабочих дней с момента сдачи потребителем необходимых документов и получения расписки, а также подачи электронного запроса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выдачу дубликата свидетельства о государственной (учетной) регистрации (перерегистрации) юридического лица (филиала и представительства) взимается сбор за государственную регистрацию юридических лиц и учетную регистрацию филиалов и представительств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Комитетом, уполномоченным органом, Центром отказывается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 заявлений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59"/>
    <w:bookmarkStart w:name="z6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0"/>
    <w:bookmarkStart w:name="z6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посредством «окон», на которых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соответствующих документов в Комитете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 Комитета либо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архив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- оформление дубликата свидетельства о государственной (учетной) регистрации (перерегистрации) юридического лица,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дубликата свидетельства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и об учетной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филиала и представительства»</w:t>
      </w:r>
    </w:p>
    <w:bookmarkEnd w:id="62"/>
    <w:bookmarkStart w:name="z7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63"/>
    <w:bookmarkStart w:name="z7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453"/>
        <w:gridCol w:w="2890"/>
        <w:gridCol w:w="2640"/>
        <w:gridCol w:w="27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780"/>
        <w:gridCol w:w="2739"/>
        <w:gridCol w:w="2781"/>
        <w:gridCol w:w="3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дней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640"/>
        <w:gridCol w:w="3140"/>
        <w:gridCol w:w="3140"/>
        <w:gridCol w:w="2786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161"/>
        <w:gridCol w:w="3203"/>
        <w:gridCol w:w="3203"/>
        <w:gridCol w:w="3224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журнал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613"/>
        <w:gridCol w:w="2634"/>
        <w:gridCol w:w="2962"/>
        <w:gridCol w:w="29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дубликата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емому реестру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526"/>
        <w:gridCol w:w="2692"/>
        <w:gridCol w:w="2630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свидетельства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юридического лица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учетной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и представительства»      </w:t>
      </w:r>
    </w:p>
    <w:bookmarkEnd w:id="67"/>
    <w:bookmarkStart w:name="z7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048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235</w:t>
      </w:r>
    </w:p>
    <w:bookmarkEnd w:id="69"/>
    <w:bookmarkStart w:name="z7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из Государственной базы данных</w:t>
      </w:r>
      <w:r>
        <w:br/>
      </w:r>
      <w:r>
        <w:rPr>
          <w:rFonts w:ascii="Times New Roman"/>
          <w:b/>
          <w:i w:val="false"/>
          <w:color w:val="000000"/>
        </w:rPr>
        <w:t>
«Юридические лица» 1. Общие положения</w:t>
      </w:r>
    </w:p>
    <w:bookmarkEnd w:id="70"/>
    <w:bookmarkStart w:name="z7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справки из Государственной базы данных «Юридические лица»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справки из Государственной базы данных «Юридические лица» (далее – ГБД «ЮЛ») - выдача справки о зарегистрированном юридическом лице, филиале или представительстве, о наличии филиалов и представительств юридического лица, об участии юридического лица в других юридических лицах, об участии физического лица в юридических лицах, филиалах и представительствах.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«Выдача справки из Государственной базы данных «Юридические лица» (далее – государственная услуга)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регистрации юридических лиц и учетной регистрации филиалов и представительств»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на бумажном или электронном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зарегистрированном юридическом лице, филиале или представительстве;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наличии филиалов и представительств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участии юридического лица в других юридических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 участии физического лица в юридических лицах, филиалах и представительствах.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 индивидуального идентификационного номера (ИИН) или бизнес-идентификационного номера (БИН) услуга предоставляется в форме электронного документа, засвидетельствованного электронной цифровой подписью уполномоченного органа.</w:t>
      </w:r>
    </w:p>
    <w:bookmarkEnd w:id="71"/>
    <w:bookmarkStart w:name="z7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2"/>
    <w:bookmarkStart w:name="z7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из Государственной базы данных «Юридические лица»,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определены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уполномоченным органом, Центром отказывается в случае представления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Центр, не подключенного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 электронной очереди потребитель проходит в операционный зал для сдачи документов инспектору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проверяет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заполняет запрос установленного образца размещенные на специальной стойке в зале ожидания, либо у консультантов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вносит запись о приеме документов в книгу учета запросов на предоставление информации из ГБД «ЮЛ»;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выдает потребителю информацию из ГБД «ЮЛ».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Центр, подключенного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 электронной очереди заявитель проходит в операционный зал с документами к оператору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проверяет полноту перечня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заполняет электронный запрос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портал «электронного правительства» автоматически регистрирует запрос и выдает расписку о получении запроса, с указанием даты, часа и минуты поступления запроса, а также даты, срока и времени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портал «электронного правительства» за услугой через Интернет: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портал «электронного правительства» автоматически регистрирует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портал «электронного правительства» выдает электронное уведомление о получении запроса, с указанием даты, часа и минуты поступления запроса, а также даты, срока и времени выдачи готовых документов.</w:t>
      </w:r>
    </w:p>
    <w:bookmarkEnd w:id="73"/>
    <w:bookmarkStart w:name="z74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4"/>
    <w:bookmarkStart w:name="z7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«окон», на которых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соответствующих документов потребителю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получение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информационной услуги в электронном виде заявителю расписка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Центр не подключен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направление и получение документов из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регистрирующего органа – прием документов с Центра по книге учета документов, поиск и передача регистрационного дела исполнителю,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регистрирующего органа – рассмотрение запроса и составление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Центр подключен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документов, выполнение клиентских функций 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 «электронного правительства» – организует унифицированный и безопасный доступ к приложениям, реализующим бизнес-процессы по оказанию государственных услуг. Портал «электронного правительства» несет ответственность за аутентификацию и авторизацию пользователей, наделению их правами согласно их роли. Так же портал реализует необходимое информационное наполнение, поиск и навигацию по сайту. С помощью сервера отчетов формирует выходные формы документов в виде pdf-файлов, защищенные двухмерным штрих-кодом;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шлюз «электронного правительства» – предназначен для интеграции существующих бизнес-процессов и информационных ресурсов информационной системы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регистрирующего органа – Государственная база данных «Юридические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услуги через Интернет: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электронной заявки осуществляется на портале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закладке «Электронные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7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 из Государственной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«Юридические лица»  </w:t>
      </w:r>
    </w:p>
    <w:bookmarkEnd w:id="76"/>
    <w:bookmarkStart w:name="z7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77"/>
    <w:bookmarkStart w:name="z7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Описание действий СФЕ.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55"/>
        <w:gridCol w:w="2376"/>
        <w:gridCol w:w="2482"/>
        <w:gridCol w:w="256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13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622"/>
        <w:gridCol w:w="2746"/>
        <w:gridCol w:w="3204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приказа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дней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233"/>
        <w:gridCol w:w="3073"/>
        <w:gridCol w:w="34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113"/>
        <w:gridCol w:w="2413"/>
        <w:gridCol w:w="3153"/>
        <w:gridCol w:w="31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58"/>
        <w:gridCol w:w="3541"/>
        <w:gridCol w:w="3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журнал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632"/>
        <w:gridCol w:w="2777"/>
        <w:gridCol w:w="3043"/>
        <w:gridCol w:w="2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 реестру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430"/>
        <w:gridCol w:w="2597"/>
        <w:gridCol w:w="2639"/>
        <w:gridCol w:w="2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перерыве срока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емому реестру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снятие с учетной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филиала и представительства»</w:t>
      </w:r>
    </w:p>
    <w:bookmarkEnd w:id="81"/>
    <w:bookmarkStart w:name="z7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Диаграмма функционального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Случай, когда информационная услуга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выдается в форме е-Справки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048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2. Диаграмма функционального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Случай, когда информационная услуга выдается на бумажном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