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065f" w14:textId="0280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Ерейментауского районного маслихата от 12 февраля 2008 года № 4С-5/5-08 "Об утверждении Правил оказания гражданам жилищной помощи на содержание жилища, услуг связи и оплата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27 сентября 2011 года № 4С-40/6-11. Зарегистрировано Управлением юстиции Ерейментауского района Акмолинской области 25 октября 2011 года № 1-9-179. Утратило силу - решением Ерейментауского районого маслихата Акмолинской области от 13 декабря 2011 года № 4С-42/9-11</w:t>
      </w:r>
    </w:p>
    <w:p>
      <w:pPr>
        <w:spacing w:after="0"/>
        <w:ind w:left="0"/>
        <w:jc w:val="both"/>
      </w:pPr>
      <w:bookmarkStart w:name="z1" w:id="0"/>
      <w:r>
        <w:rPr>
          <w:rFonts w:ascii="Times New Roman"/>
          <w:b w:val="false"/>
          <w:i w:val="false"/>
          <w:color w:val="ff0000"/>
          <w:sz w:val="28"/>
        </w:rPr>
        <w:t xml:space="preserve">
      Сноска. Утратило силу - решением Ерейментауского районого маслихата Акмолинской области от 13.12.2011 </w:t>
      </w:r>
      <w:r>
        <w:rPr>
          <w:rFonts w:ascii="Times New Roman"/>
          <w:b w:val="false"/>
          <w:i w:val="false"/>
          <w:color w:val="ff0000"/>
          <w:sz w:val="28"/>
        </w:rPr>
        <w:t>№ 4С-42/9-11</w:t>
      </w:r>
      <w:r>
        <w:rPr>
          <w:rFonts w:ascii="Times New Roman"/>
          <w:b w:val="false"/>
          <w:i w:val="false"/>
          <w:color w:val="ff0000"/>
          <w:sz w:val="28"/>
        </w:rPr>
        <w:t> (вводится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Ерейментауский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«Об утверждении Правил оказания гражданам жилищной помощи на содержание жилища, услуг связи и оплату коммунальных услуг» от 12 февраля 2008 года № 4С-5/5-08 (зарегистрировано в Реестре государственной регистрации нормативных правовых актов № 1-9-96, опубликовано 15 марта 2008 года в районной газете «Ереймен», 15 марта 2008 года в районной газете «Ерейментау) следующие изменений:</w:t>
      </w:r>
      <w:r>
        <w:br/>
      </w:r>
      <w:r>
        <w:rPr>
          <w:rFonts w:ascii="Times New Roman"/>
          <w:b w:val="false"/>
          <w:i w:val="false"/>
          <w:color w:val="000000"/>
          <w:sz w:val="28"/>
        </w:rPr>
        <w:t>
      в Правилах оказания гражданам жилищной помощи на содержание жилища, услуг связи и оплату коммунальных услуг, утвержденных указанным решением:</w:t>
      </w:r>
      <w:r>
        <w:br/>
      </w:r>
      <w:r>
        <w:rPr>
          <w:rFonts w:ascii="Times New Roman"/>
          <w:b w:val="false"/>
          <w:i w:val="false"/>
          <w:color w:val="000000"/>
          <w:sz w:val="28"/>
        </w:rPr>
        <w:t>
      пункт 2 изложить в новой редакции:</w:t>
      </w:r>
      <w:r>
        <w:br/>
      </w:r>
      <w:r>
        <w:rPr>
          <w:rFonts w:ascii="Times New Roman"/>
          <w:b w:val="false"/>
          <w:i w:val="false"/>
          <w:color w:val="000000"/>
          <w:sz w:val="28"/>
        </w:rPr>
        <w:t>
      «2. Жилищная помощь предоставляется гражданам Республики Казахстан постоянно проживающим в городе и поселках, являющимся собственниками или нанимателями жилья в том случае, если расходы на оплату содержания жилья и потребления коммунальных услуг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к совокупному доходу семьи за квартал, предшествовавший кварталу обращения за назначением жилищной помощи, в размере 15 %.</w:t>
      </w:r>
      <w:r>
        <w:br/>
      </w:r>
      <w:r>
        <w:rPr>
          <w:rFonts w:ascii="Times New Roman"/>
          <w:b w:val="false"/>
          <w:i w:val="false"/>
          <w:color w:val="000000"/>
          <w:sz w:val="28"/>
        </w:rPr>
        <w:t>
      Оплата на содержание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пункт 3 изложить в новой редакции:</w:t>
      </w:r>
      <w:r>
        <w:br/>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одного человека. Для одинокопроживающих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(водоснабжение, газ, канализация, тепловая энергия, мусор) устанавливаются исходя из фактического потребления, но не более предельных величин согласно нормативным документам. Норма потребления электроэнергии устанавливается исходя из фактического потребления, но не более 150 (сто пятьдесят) киловатт на семью в составе от одного до трех человек, не более 200 (двести) киловатт на семью из четырех и более человек. При наличии соответствующего документа о том, что жилище не газифицировано, и для приготовления пищи используется электробытовые плиты, оплата за электроэнергию сверх установленных нормативов может быть зачтена по заявлению получателей жилищной помощи в счет оплаты за газоснабжение, но в пределах норм потребления тарифов, установленных по газоснабжению.»</w:t>
      </w:r>
      <w:r>
        <w:br/>
      </w:r>
      <w:r>
        <w:rPr>
          <w:rFonts w:ascii="Times New Roman"/>
          <w:b w:val="false"/>
          <w:i w:val="false"/>
          <w:color w:val="000000"/>
          <w:sz w:val="28"/>
        </w:rPr>
        <w:t>
      пункт 4 изложить в новой редакции:</w:t>
      </w:r>
      <w:r>
        <w:br/>
      </w:r>
      <w:r>
        <w:rPr>
          <w:rFonts w:ascii="Times New Roman"/>
          <w:b w:val="false"/>
          <w:i w:val="false"/>
          <w:color w:val="000000"/>
          <w:sz w:val="28"/>
        </w:rPr>
        <w:t>
      «4. Жилищная помощь не назначается лицам, имеющим в частной собственности более одной единицы жилья или сдающим внаем, а также семьям, если в них имеются трудоспособные лица, которые не работают, не учатся, не служат в армии и не зарегистрированы в службе занятости, за исключением лиц:</w:t>
      </w:r>
      <w:r>
        <w:br/>
      </w:r>
      <w:r>
        <w:rPr>
          <w:rFonts w:ascii="Times New Roman"/>
          <w:b w:val="false"/>
          <w:i w:val="false"/>
          <w:color w:val="000000"/>
          <w:sz w:val="28"/>
        </w:rPr>
        <w:t>
      -осуществляющих уход за инвалидами, признанными нуждающимися в уходе;</w:t>
      </w:r>
      <w:r>
        <w:br/>
      </w:r>
      <w:r>
        <w:rPr>
          <w:rFonts w:ascii="Times New Roman"/>
          <w:b w:val="false"/>
          <w:i w:val="false"/>
          <w:color w:val="000000"/>
          <w:sz w:val="28"/>
        </w:rPr>
        <w:t>
      -занятых воспитанием ребенка в возрасте до 3-х лет;</w:t>
      </w:r>
      <w:r>
        <w:br/>
      </w:r>
      <w:r>
        <w:rPr>
          <w:rFonts w:ascii="Times New Roman"/>
          <w:b w:val="false"/>
          <w:i w:val="false"/>
          <w:color w:val="000000"/>
          <w:sz w:val="28"/>
        </w:rPr>
        <w:t>
      -инвалидов 1,2,3 групп.»</w:t>
      </w:r>
      <w:r>
        <w:br/>
      </w:r>
      <w:r>
        <w:rPr>
          <w:rFonts w:ascii="Times New Roman"/>
          <w:b w:val="false"/>
          <w:i w:val="false"/>
          <w:color w:val="000000"/>
          <w:sz w:val="28"/>
        </w:rPr>
        <w:t>
      пункт 6 изложить в новой редакции:</w:t>
      </w:r>
      <w:r>
        <w:br/>
      </w:r>
      <w:r>
        <w:rPr>
          <w:rFonts w:ascii="Times New Roman"/>
          <w:b w:val="false"/>
          <w:i w:val="false"/>
          <w:color w:val="000000"/>
          <w:sz w:val="28"/>
        </w:rPr>
        <w:t>
      «6. Жилищная помощь назначается уполномоченным органом с месяца подачи заявления до конца текущего квартала. Заявление на предоставление жилищной помощи может быть принято только от одного из членов семьи. Для определения величины жилищной помощи исчисляется среднемесячный доход семьи за квартал, предшествующий кварталу обращения.</w:t>
      </w:r>
      <w:r>
        <w:br/>
      </w:r>
      <w:r>
        <w:rPr>
          <w:rFonts w:ascii="Times New Roman"/>
          <w:b w:val="false"/>
          <w:i w:val="false"/>
          <w:color w:val="000000"/>
          <w:sz w:val="28"/>
        </w:rPr>
        <w:t>
      Жилищная помощь назначается на основании заявления собственника (нанимателя) жилья и прилагаемых к нему документов:</w:t>
      </w:r>
      <w:r>
        <w:br/>
      </w:r>
      <w:r>
        <w:rPr>
          <w:rFonts w:ascii="Times New Roman"/>
          <w:b w:val="false"/>
          <w:i w:val="false"/>
          <w:color w:val="000000"/>
          <w:sz w:val="28"/>
        </w:rPr>
        <w:t>
      1) копия удостоверения личности заявителя;</w:t>
      </w:r>
      <w:r>
        <w:br/>
      </w:r>
      <w:r>
        <w:rPr>
          <w:rFonts w:ascii="Times New Roman"/>
          <w:b w:val="false"/>
          <w:i w:val="false"/>
          <w:color w:val="000000"/>
          <w:sz w:val="28"/>
        </w:rPr>
        <w:t>
      2) копии регистрационного номера налогоплательщика (РНН) заявителя;</w:t>
      </w:r>
      <w:r>
        <w:br/>
      </w:r>
      <w:r>
        <w:rPr>
          <w:rFonts w:ascii="Times New Roman"/>
          <w:b w:val="false"/>
          <w:i w:val="false"/>
          <w:color w:val="000000"/>
          <w:sz w:val="28"/>
        </w:rPr>
        <w:t>
      3) копия социального индивидуального кода (СИК) заявителя;</w:t>
      </w:r>
      <w:r>
        <w:br/>
      </w:r>
      <w:r>
        <w:rPr>
          <w:rFonts w:ascii="Times New Roman"/>
          <w:b w:val="false"/>
          <w:i w:val="false"/>
          <w:color w:val="000000"/>
          <w:sz w:val="28"/>
        </w:rPr>
        <w:t>
      4) копия книги регистрации граждан;</w:t>
      </w:r>
      <w:r>
        <w:br/>
      </w:r>
      <w:r>
        <w:rPr>
          <w:rFonts w:ascii="Times New Roman"/>
          <w:b w:val="false"/>
          <w:i w:val="false"/>
          <w:color w:val="000000"/>
          <w:sz w:val="28"/>
        </w:rPr>
        <w:t>
      5) копия правоустанавливающего документа на жилище (ордер, договор приватизации, мены, купли-продажи, дарения и найма и т.д.);»</w:t>
      </w:r>
      <w:r>
        <w:br/>
      </w:r>
      <w:r>
        <w:rPr>
          <w:rFonts w:ascii="Times New Roman"/>
          <w:b w:val="false"/>
          <w:i w:val="false"/>
          <w:color w:val="000000"/>
          <w:sz w:val="28"/>
        </w:rPr>
        <w:t>
      6) документы, подтверждающие доходы семьи;</w:t>
      </w:r>
      <w:r>
        <w:br/>
      </w:r>
      <w:r>
        <w:rPr>
          <w:rFonts w:ascii="Times New Roman"/>
          <w:b w:val="false"/>
          <w:i w:val="false"/>
          <w:color w:val="000000"/>
          <w:sz w:val="28"/>
        </w:rPr>
        <w:t>
      7) справка формы № 2 с Управления юстиции о зарегистрированном недвижимом имуществе;</w:t>
      </w:r>
      <w:r>
        <w:br/>
      </w:r>
      <w:r>
        <w:rPr>
          <w:rFonts w:ascii="Times New Roman"/>
          <w:b w:val="false"/>
          <w:i w:val="false"/>
          <w:color w:val="000000"/>
          <w:sz w:val="28"/>
        </w:rPr>
        <w:t>
      8) счета на потребление коммунальных услуг за квартал, предшествующий кварталу обращения за назначением жилищной помощи;</w:t>
      </w:r>
      <w:r>
        <w:br/>
      </w:r>
      <w:r>
        <w:rPr>
          <w:rFonts w:ascii="Times New Roman"/>
          <w:b w:val="false"/>
          <w:i w:val="false"/>
          <w:color w:val="000000"/>
          <w:sz w:val="28"/>
        </w:rPr>
        <w:t>
      9) квитанцию- счет за услуги телекоммуникаций или копия договора на оказание услуг связи;</w:t>
      </w:r>
      <w:r>
        <w:br/>
      </w:r>
      <w:r>
        <w:rPr>
          <w:rFonts w:ascii="Times New Roman"/>
          <w:b w:val="false"/>
          <w:i w:val="false"/>
          <w:color w:val="000000"/>
          <w:sz w:val="28"/>
        </w:rPr>
        <w:t>
      10) справка формы № 4 с Управления юстиции (для одиноких матерей).</w:t>
      </w:r>
      <w:r>
        <w:br/>
      </w:r>
      <w:r>
        <w:rPr>
          <w:rFonts w:ascii="Times New Roman"/>
          <w:b w:val="false"/>
          <w:i w:val="false"/>
          <w:color w:val="000000"/>
          <w:sz w:val="28"/>
        </w:rPr>
        <w:t>
      пункт 8 изложить в новой редакции:</w:t>
      </w:r>
      <w:r>
        <w:br/>
      </w:r>
      <w:r>
        <w:rPr>
          <w:rFonts w:ascii="Times New Roman"/>
          <w:b w:val="false"/>
          <w:i w:val="false"/>
          <w:color w:val="000000"/>
          <w:sz w:val="28"/>
        </w:rPr>
        <w:t>
      «8. Получатели жилищной помощи в десятидневный срок информируют уполномоченный орган о любых изменениях в составе семьи и ее совокупном доходе.</w:t>
      </w:r>
      <w:r>
        <w:br/>
      </w:r>
      <w:r>
        <w:rPr>
          <w:rFonts w:ascii="Times New Roman"/>
          <w:b w:val="false"/>
          <w:i w:val="false"/>
          <w:color w:val="000000"/>
          <w:sz w:val="28"/>
        </w:rPr>
        <w:t>
      Излишне выплаченные суммы, вследствие предоставления недостоверных сведений, подлежат возврату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Ерейментауского районного</w:t>
      </w:r>
      <w:r>
        <w:br/>
      </w:r>
      <w:r>
        <w:rPr>
          <w:rFonts w:ascii="Times New Roman"/>
          <w:b w:val="false"/>
          <w:i w:val="false"/>
          <w:color w:val="000000"/>
          <w:sz w:val="28"/>
        </w:rPr>
        <w:t>
</w:t>
      </w:r>
      <w:r>
        <w:rPr>
          <w:rFonts w:ascii="Times New Roman"/>
          <w:b w:val="false"/>
          <w:i/>
          <w:color w:val="000000"/>
          <w:sz w:val="28"/>
        </w:rPr>
        <w:t>      маслихата                                  С. Мухантаева</w:t>
      </w:r>
    </w:p>
    <w:p>
      <w:pPr>
        <w:spacing w:after="0"/>
        <w:ind w:left="0"/>
        <w:jc w:val="both"/>
      </w:pPr>
      <w:r>
        <w:rPr>
          <w:rFonts w:ascii="Times New Roman"/>
          <w:b w:val="false"/>
          <w:i/>
          <w:color w:val="000000"/>
          <w:sz w:val="28"/>
        </w:rPr>
        <w:t>      Секретарь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К. Махметов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Ерейментауского района                Л.Ж. Дюсенов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Ерейментауского района»                    М.Л. Сердцева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