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3aa6" w14:textId="d773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декабря 2011 года № 295/46-4. Зарегистрировано Управлением юстиции Целиноградского района Акмолинской области 29 декабря 2011 года № 1-17-158. Утратило силу в связи с истечением срока применения - (письмо Целиноградского районного маслихата Акмолинской области от 4 апреля 2013 года № 01-04/20)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04.04.2013 года № 01-04/20).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12 330 276,8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587 920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27 183,4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  70 000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11 645 173,4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  – 12 610 857,9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-307 550,3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- 307 550,3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Целиноградского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73/10-5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механических транспортных средств и прицепов;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 в бюджет района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2012 год предусмотрен объем субвенции, передаваемой из областного бюджета бюджету района в сумме 1 661 974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возврат кредитов, выделенных из областного бюджета в 2009 году району на строительство жилья в сумме 52 205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предусмотрен возврат неиспользованных бюджетных кредитов, выделенных в 2011 году для реализации мер социальной поддержки специалистов и разрешенных к доиспользованию в 2012 году, в сумме 1 380,8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Целиноградского районного маслихата Акмолинской области от 28.09.2012  </w:t>
      </w:r>
      <w:r>
        <w:rPr>
          <w:rFonts w:ascii="Times New Roman"/>
          <w:b w:val="false"/>
          <w:i w:val="false"/>
          <w:color w:val="000000"/>
          <w:sz w:val="28"/>
        </w:rPr>
        <w:t>№ 59/8-5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4-2. Учесть, что в районном бюджете предусмотрены вознаграждения по бюджетным кредитам, выданым из республиканского бюджета для реализации мер социальной поддержки специалистов, в сумме 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Целиноградского районного маслихата Акмолинской области от 28.09.2012  </w:t>
      </w:r>
      <w:r>
        <w:rPr>
          <w:rFonts w:ascii="Times New Roman"/>
          <w:b w:val="false"/>
          <w:i w:val="false"/>
          <w:color w:val="000000"/>
          <w:sz w:val="28"/>
        </w:rPr>
        <w:t>№ 59/8-5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погашение основного долга по бюджетным кредитам, выделенных в 2010 и 2011 годах для реализации мер социальной поддержки специалистов социальной сферы сельских населенных пунктов в сумме 2064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Целиноградского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000000"/>
          <w:sz w:val="28"/>
        </w:rPr>
        <w:t>№ 73/10-5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целевые текущие трансферты: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12 282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257 604,6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15 273 тысяч тенге –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430 861 тысяч тенге – на капитальный и средний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12 343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19 416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7 200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37 145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7 839,5 тысяч тенге – на оказание мер государственной поддержки участников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12 279 тысяч тенге – на обеспечение деятельности центра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7 924 тысяч тенге – на оказания содействия экономическому развитию регионов и системы расселения населения в рамках программы «Развитие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736,4 тысяч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2 716 тысяч тенге - на оплату за учебу в колледжах студентам из малообеспеченных и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262 981 тысяч тенге – на ремонт автомобильных дорог и разработку проектно-сметной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35 000 тысяч тенге - на завершение отопительного сезона объектов теплоснабжения аула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41 200 тысяч тенге – на капитальный ремонт средней школы № 43 в ауле Ракымжана Кошкарбаева;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капитальный ремонт средней школы № 32 в селе Новоишимка;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43 014,7 тысяч тенге - на возмещение убытков землепользователям  или собственникам земельных участков при принудительном отчуждении земельных участков для создания зеленой зоны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42 772,2 тысяч тенге – на ремонт котельного оборудования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2 316,5 тысяч тенге – на капитальные расходы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116 979 тысяч тенге – на компенсацию потерь нижестоящих бюджетов в связи с изменением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Целиноградского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000000"/>
          <w:sz w:val="28"/>
        </w:rPr>
        <w:t>№ 59/8-5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05.12.2012 </w:t>
      </w:r>
      <w:r>
        <w:rPr>
          <w:rFonts w:ascii="Times New Roman"/>
          <w:b w:val="false"/>
          <w:i w:val="false"/>
          <w:color w:val="000000"/>
          <w:sz w:val="28"/>
        </w:rPr>
        <w:t>№ 73/10-5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276 178 тысяч тенге – на строительство средней школы на 900 мест в селе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905 527 тысяч тенге – на строительство средней школы на 900 мест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684 582 тысяч тенге – на строительство средней школы на 1 200 мест в ауле Караоткель;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685 578 тысяч тенге – на строительство средней школы на 1 200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238 346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2 337 889 тысяч тенге - на проектирование, развитие, обустройство и (или) приобретение инженерно-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600 000 тысяч тенге – на строительство котельной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реконструкцию системы теплоснабжения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4 500 тысяч тенге - на разработку проектно-сметной документации (привязка проекта повторного применения (далее - привязка ППП), проведение государственной экспертизы по проекту строительства детского сада на 140 мест в селе Кажымукан;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4 500 тысяч тенге - на разработку проектно-сметной документации (привязка ППП), проведение государственной экспертизы по проекту строительства детского сада на 140 мест в селе Тайтобе;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4 200 тысяч тенге - на разработку проектно-сметной документации (привязка ППП), проведение государственной экспертизы по проекту строительства средней школы на 300 ученических мест в селе Тайтобе;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6 000 тысяч тенге - привязка ППП по проекту строительства средней школы на 300 ученических мест в селе Кызылжар;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167 185,6 тысяч тенге - на строительство детского сада на 140 мест на разъезде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тысяч тенге - на реконструкцию детского сада в селе Софиевка;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7 980 тысяч тенге - на разработку проектно-сметной документации, проведение государственной экспертизы по проекту реконструкции сетей водоснабжения села Караоткель;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13 000 тысяч тенге - на разработку проектно-сметной документации, проведение государственной экспертизы по проекту реконструкции сетей водоснабжения села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297 000 тысяч тенге - на строительство разводящих сетей водоснабжения и канализации в районе новой застройки (микрорайоны 1, 2, 3, 4)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168 304,5 тысяч тенге - на разработку проектно-сметной документации по проекту электроснабжения на разъезде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13 250 тысяч тенге - на разработку проектно-сметной документации по проекту электроснабжения села Каражар;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8 150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Кажымукан;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41 360 тысяч тенге - на разработку проектно-сметной документации, проведение государственной экспертизы по проектам строительства сетей электроснабжения села Максимовка;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тысяч тенге - на разработку проектно-сметной документации, проведение государственной экспертизы по проекту реконструкции сетей водоснабжения села Кызыл 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90 000 тысяч тенге – на реконструкцию системы водоснабжения в селе Максимовка;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108 000 тысяч тенге – на реконструкцию системы водоснабжения в ауле Кабанбай батыра;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668 223 тысяч тенге – на реконструкцию магистральных сетей водовода от станции села Оразак до станции третьего подъема аула Акмол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135 000 тысяч тенге – на реконструкцию систем водоснабжения и канализации в районе новой застройки (микрорайоны 1,2,3, 4)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356 188 тысяч тенге - на строительство детского сада на 280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133 885 тысяч тенге – на строительство детского сада на 280 мест в селе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354 029 тысяч тенге – на строительство детского сада на 280 мест в селе Талапкер;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250 000 тысяч тенге – на строительство средней школы на 300 мест на разъезде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разработку проектно-сметной документации, проведение государственной экспертизы по проекту реконструкции водовода от аула Акмол до аула Караоткель и села Каражар;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28 531 тысяч тенге – на разработку проектно-сметной документации на работы, непредусмотренные в документации, по проекту строительства котельной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37 000 тысяч тенге – на строительство систем электроснабжения здания районного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9 749,6 тысяч тенге – на строительство 36-ти квартирного жилого дома в ауле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8 800 тысяч тенге – на строительство канализации в районе административной застройки аула Акмол;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на корректировку проектно-сметной документации по проекту строительства административного здания в ауле Акмол.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Целиноградского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000000"/>
          <w:sz w:val="28"/>
        </w:rPr>
        <w:t>№ 59/8-5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01.01.2012); от 05.12.2012  </w:t>
      </w:r>
      <w:r>
        <w:rPr>
          <w:rFonts w:ascii="Times New Roman"/>
          <w:b w:val="false"/>
          <w:i w:val="false"/>
          <w:color w:val="000000"/>
          <w:sz w:val="28"/>
        </w:rPr>
        <w:t>№ 73/10-5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2012 год в установленном законодательством порядке использованы свободные остатки бюджетных средств, образовавшиеся на 1 января 2012 года, в сумме 342 654,9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4 700 тысяч тенге -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 тысяч тенге – на разработку дефектного акта и сводного сметного расчета по программе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приобретение и доставку учебников, учебно-методических комплексов для государственных учреждений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2 718 тысяч тенге - на развитие государственного языка и других языков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освещение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организацию эксплуатации тепловых сетей находящихся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1 800 тысяч тенге - на организацию работ по оформлению земельных участков под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4 814 тысяч тенге - на погашение кредиторской задолженности за истекший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3 369 тысяч тенге - на землеустройство, проводимое при установлении границ аулов (сел), аульных (сельских)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установку и содержание каналов связи для автоматизированных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319 063,9 тысяч тенге – на неиспользованные (недоиспользованные) в течение 2011 года суммы целевых трансфертов из республиканского и областного бюджетов, разрешенные к использованию (доиспользованию) в 2012 году, с соблюдением их целевого назначения,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241 525,1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26 384,8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1 254,2 тысяч тенге - на корректировку проектно-сметной документации с проведением государственной экспертизы на строительство сетей электроснабжения села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3 246,1 тысяч тенге - на разработку проектно-сметной документации (привязка ППП), проведение государственной экспертизы по проекту строительства средней школы на 1200 ученических мест в ауле Караоткель;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3 215 тысяч тенге - на разработку проектно-сметной документации (привязка ППП), проведение государственной экспертизы по проекту строительства средней школы на 1200 ученических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2 690 тысяч тенге - на разработку проектно-сметной документации (привязка ППП), проведение государственной экспертизы по проекту строительства детского сада на 140 мест на разъезде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9 617,2 тысяч тенге – на использование кредита, выделенного в 2011 году из республиканского бюджета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29 750,7 тысяч тенге - на возврат целевых трансфертов из республиканского и областного бюджетов, выделенных в 2011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1 129,2 тысяч тенге – на выплату заработной платы индивидуальным помощникам в соответствии с индивидуальной программой реабилитации 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Целиноградского районного маслихата Акмолинской области от 19.03.2012 </w:t>
      </w:r>
      <w:r>
        <w:rPr>
          <w:rFonts w:ascii="Times New Roman"/>
          <w:b w:val="false"/>
          <w:i w:val="false"/>
          <w:color w:val="000000"/>
          <w:sz w:val="28"/>
        </w:rPr>
        <w:t>№ 12/2-5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2012 года); с изменениями, внесенными решением Целиноградского районного маслихата Акмолинской области от 28.09.2012 </w:t>
      </w:r>
      <w:r>
        <w:rPr>
          <w:rFonts w:ascii="Times New Roman"/>
          <w:b w:val="false"/>
          <w:i w:val="false"/>
          <w:color w:val="000000"/>
          <w:sz w:val="28"/>
        </w:rPr>
        <w:t>№ 59/8-5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 кредит из республиканского бюджета для реализации мер социальной поддержки специалистов в сумме 16 989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составе расходов районного бюджета на 2012 год предусмотреть доплаты в размере 25 процентов от окладов и тарифных ставок специалистам, проживающим и работающим в сельской местности, районных организаций образования, социального обеспечения,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развития районного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по администраторам аппаратов акимов аульных (сельских)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В.Скрипко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ноября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295/46-4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Целиноградского районного маслихата Акмолинской области от 05.12.2012 </w:t>
      </w:r>
      <w:r>
        <w:rPr>
          <w:rFonts w:ascii="Times New Roman"/>
          <w:b w:val="false"/>
          <w:i w:val="false"/>
          <w:color w:val="ff0000"/>
          <w:sz w:val="28"/>
        </w:rPr>
        <w:t>№ 73/10-5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9"/>
        <w:gridCol w:w="547"/>
        <w:gridCol w:w="547"/>
        <w:gridCol w:w="531"/>
        <w:gridCol w:w="7755"/>
        <w:gridCol w:w="26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12 330 276,8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587 920,0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29 611,0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201 935,0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115 133,0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37 716,0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2 417,0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30 315,0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27 183,4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4 170,8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3 096,0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1 071,0</w:t>
            </w:r>
          </w:p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18 837,0</w:t>
            </w:r>
          </w:p>
        </w:tc>
      </w:tr>
      <w:tr>
        <w:trPr>
          <w:trHeight w:val="19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3 711,6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11 645 173,4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12 610 857,9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242 681,5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199 629,5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47 938,5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2 316,5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42 644,0</w:t>
            </w:r>
          </w:p>
        </w:tc>
      </w:tr>
      <w:tr>
        <w:trPr>
          <w:trHeight w:val="10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6 041 423,9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382 957,0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382 957,0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138 677,0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воспитателям детских садов, мини-центров, школ-интернатов: общего типа, специальных (коррекционных), специализированных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одаренных детей, организаций образования для детей-сирот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детей, оставшихся без попечения родителей, центров 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243 644,0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1 773 254,2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1 769 637,2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1 733 128,2</w:t>
            </w:r>
          </w:p>
        </w:tc>
      </w:tr>
      <w:tr>
        <w:trPr>
          <w:trHeight w:val="16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36 509,0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3 885 212,7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40 909,0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9 489,0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8 947,0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3 844 303,7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3 844 303,7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107 626,7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91 245,7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91 245,7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25 383,5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8 383,1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12 744,5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16 381,0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5 245 733,2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3 022 807,0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2 961 607,0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274 480,4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2 687 126,6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2 212 806,2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128 772,2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128 772,2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2 084 034,0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732 031,0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1 352 003,0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108 356,0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60 669,0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2 069,0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27 571,0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 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3 923,0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16 371,0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5 522,0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5 033,0</w:t>
            </w:r>
          </w:p>
        </w:tc>
      </w:tr>
      <w:tr>
        <w:trPr>
          <w:trHeight w:val="8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86 154,9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27 428,2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15 695,2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46 383,7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46 383,7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3 369,0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создания зеленой зоны города Астаны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43 014,7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12 343,0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20 210,0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10 223,0</w:t>
            </w:r>
          </w:p>
        </w:tc>
      </w:tr>
      <w:tr>
        <w:trPr>
          <w:trHeight w:val="6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  архитектуры и градостроительства на местном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693 842,0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19 465,0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7 104,0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44 164,9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30 204,3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13 960,6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26 969,2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29 033,2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-307 550,3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307 550,3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55 649,8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54 269,0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1 380,8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343 784,1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295/46-4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87"/>
        <w:gridCol w:w="830"/>
        <w:gridCol w:w="791"/>
        <w:gridCol w:w="7165"/>
        <w:gridCol w:w="265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70963440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05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13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6 371698,0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1 648 224,0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4 723 474,0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1 648 224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7 096 344,0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208 457,0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195 105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44 294,0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44 294,0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138 691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138 691,0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12 619,0</w:t>
            </w:r>
          </w:p>
        </w:tc>
      </w:tr>
      <w:tr>
        <w:trPr>
          <w:trHeight w:val="10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3 200 847,0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127 629,0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1 481 942,0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1 477 049,0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1 477 049,0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1 591 276,0</w:t>
            </w:r>
          </w:p>
        </w:tc>
      </w:tr>
      <w:tr>
        <w:trPr>
          <w:trHeight w:val="3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14 706,0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1 576 570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1 576 570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81 757,0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65 608,0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65 608,0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10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16 149,0</w:t>
            </w:r>
          </w:p>
        </w:tc>
      </w:tr>
      <w:tr>
        <w:trPr>
          <w:trHeight w:val="7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3 207 847,0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2 956 062,0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2 501 462,0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454 600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190 842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190 842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100 994,0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7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7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6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8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20 156,0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20 156,0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5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9 646,0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9 646,0</w:t>
            </w:r>
          </w:p>
        </w:tc>
      </w:tr>
      <w:tr>
        <w:trPr>
          <w:trHeight w:val="5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7 666,0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11 178,0</w:t>
            </w:r>
          </w:p>
        </w:tc>
      </w:tr>
      <w:tr>
        <w:trPr>
          <w:trHeight w:val="34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4 234,0</w:t>
            </w:r>
          </w:p>
        </w:tc>
      </w:tr>
      <w:tr>
        <w:trPr>
          <w:trHeight w:val="8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8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6 944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246 600,0</w:t>
            </w:r>
          </w:p>
        </w:tc>
      </w:tr>
      <w:tr>
        <w:trPr>
          <w:trHeight w:val="5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246 600,0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246 600,0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295/46-4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904"/>
        <w:gridCol w:w="808"/>
        <w:gridCol w:w="789"/>
        <w:gridCol w:w="7162"/>
        <w:gridCol w:w="267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4 675 270,0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594 228,0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308 559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35 039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26 977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1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13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3 950 624,0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3 950 624,0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3 950 624,0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4675270,0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210 588,0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197 236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138 691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138 691,0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12 619,0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12 619,0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127 629,0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127 629,0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1 724 885,0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1 719 992,0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1 719 992,0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1747106,0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8 759,0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1 732 400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81 757,0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65 608,0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65 608,0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16 149,0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630 943,0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621 000,0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9 943,0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101462,0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58 131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1 676,0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4 679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15 777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17 796,0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10 030,0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10 030,0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7 766,0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11 452,0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4 367,0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295/46-4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903"/>
        <w:gridCol w:w="809"/>
        <w:gridCol w:w="809"/>
        <w:gridCol w:w="868"/>
        <w:gridCol w:w="8946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5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295/46-4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90"/>
        <w:gridCol w:w="831"/>
        <w:gridCol w:w="1063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13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295/46-4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аппаратов акимов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Целиноградского районного маслихата Акмолинской области от 26.11.2012 </w:t>
      </w:r>
      <w:r>
        <w:rPr>
          <w:rFonts w:ascii="Times New Roman"/>
          <w:b w:val="false"/>
          <w:i w:val="false"/>
          <w:color w:val="ff0000"/>
          <w:sz w:val="28"/>
        </w:rPr>
        <w:t>№ 69/9-5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499"/>
        <w:gridCol w:w="536"/>
        <w:gridCol w:w="536"/>
        <w:gridCol w:w="8191"/>
        <w:gridCol w:w="2634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9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17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7"/>
        <w:gridCol w:w="1813"/>
        <w:gridCol w:w="1899"/>
        <w:gridCol w:w="2349"/>
        <w:gridCol w:w="1963"/>
        <w:gridCol w:w="2479"/>
      </w:tblGrid>
      <w:tr>
        <w:trPr>
          <w:trHeight w:val="132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</w:tr>
      <w:tr>
        <w:trPr>
          <w:trHeight w:val="43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3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16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8969,0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</w:tr>
      <w:tr>
        <w:trPr>
          <w:trHeight w:val="6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25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2163"/>
        <w:gridCol w:w="2163"/>
        <w:gridCol w:w="2163"/>
        <w:gridCol w:w="2164"/>
        <w:gridCol w:w="2164"/>
      </w:tblGrid>
      <w:tr>
        <w:trPr>
          <w:trHeight w:val="133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Р. Кошкарбаева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</w:tr>
      <w:tr>
        <w:trPr>
          <w:trHeight w:val="43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8972,0</w:t>
            </w:r>
          </w:p>
        </w:tc>
      </w:tr>
      <w:tr>
        <w:trPr>
          <w:trHeight w:val="12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25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6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2108"/>
        <w:gridCol w:w="2440"/>
        <w:gridCol w:w="2108"/>
        <w:gridCol w:w="2108"/>
        <w:gridCol w:w="2109"/>
      </w:tblGrid>
      <w:tr>
        <w:trPr>
          <w:trHeight w:val="118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5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