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32ff" w14:textId="6e03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марта 2011 года № 366. Зарегистрировано Департаментом юстиции Актюбинской области 13 апреля 2011 года № 3370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235 «О ставках платы за пользование водными ресурсами из поверхностных источников» (зарегистрированное в Реестре государственной регистрации нормативных правовых актов за № 3306, опубликованное в газетах «Ақтөбе» и «Актюбинский вестник» от 19 января 2010 года № 6-7),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платы за пользование водными ресурсами из поверхностных источников, утвержденный указанным решением,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Т. ЕСЕНГУЛОВ                      Б. УРДАБАЕВ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2011 года № 366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</w:t>
      </w:r>
      <w:r>
        <w:br/>
      </w:r>
      <w:r>
        <w:rPr>
          <w:rFonts w:ascii="Times New Roman"/>
          <w:b/>
          <w:i w:val="false"/>
          <w:color w:val="000000"/>
        </w:rPr>
        <w:t>
ставок платы за пользование водными ресурсами из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бассейнов рек Уил, Сагиз, Эмба, Урал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316"/>
        <w:gridCol w:w="4075"/>
        <w:gridCol w:w="2098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тенге/1000. куб.м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тепло-энергетику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тенге/1000.куб.м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тенге/1000.куб.м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тенге/1000.куб.м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164,3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тенге/1000.квт.час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тенге/1000т.км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 рек Иргиз, Тургай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350"/>
        <w:gridCol w:w="4068"/>
        <w:gridCol w:w="2073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
</w:t>
            </w:r>
          </w:p>
        </w:tc>
      </w:tr>
      <w:tr>
        <w:trPr>
          <w:trHeight w:val="5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тенге/1000.куб.м.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тепло- энергетику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тенге/1000.куб.м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тенге/1000.куб.м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тенге/1000.куб.м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тенге/1000.квт.час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тенге/1000т.км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>Ставки платы ежегодно индексируются, исходя из официального уровня инфляции за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