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7f24" w14:textId="50f7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15 декабря 2011 года N 39-305. Зарегистрировано Управлением юстиции города Текели Департамента юстиции Алматинской области 13 января 2012 года N 2-3-101.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Установить ставки земельного налога по городу Текели и поселку Рудничный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решение Текелийского городского маслихата "Об установлении ставок земельного налога" от 3 декабря 2010 года № 26-196 (зарегистрировано в управлении Юстиции города Текели в государственном Реестре нормативных правовых актов 29 декабря 2010 года за номером 2-3-85, опубликовано в газете "Текелі тынысы" 7 января 2011 года за номером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городского маслихата по вопросам бюджета и экономики (председатель Нестеров Константин Михайлович).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XLI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 маслихата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по городу Текели"                  Илимжанова Зайда Абдыманановна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по городу Текели"                Есболатов Болат Буркитбаевич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39-305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земельного налога"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земельного налога на 2012 год</w:t>
      </w:r>
      <w:r>
        <w:br/>
      </w:r>
      <w:r>
        <w:rPr>
          <w:rFonts w:ascii="Times New Roman"/>
          <w:b/>
          <w:i w:val="false"/>
          <w:color w:val="000000"/>
        </w:rPr>
        <w:t>
по городу Текели и поселку Рудничный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83"/>
        <w:gridCol w:w="2038"/>
        <w:gridCol w:w="2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тенге, с одного квадратного метра площади)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 на землю населенных пунктов за исключениям земель занятых жилищным фондам, в том числе строениями и сооружениями при нем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 на землю занятых жилищным фондам, в том числе строениями и сооружениями при нем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 на придомовые земельные участки при площади до 1000 квадратных метров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10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 на придомовые земельные участки превышающие 1000 квадратных метров.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 на земельные участки, выделенные под автостоянки, автозаправочные станции и казино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