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e5f6" w14:textId="4e6e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субсидируемых видов удобрений и гербицидов, нормативных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мая 2011 года № 205. Зарегистрировано Департаментом юстиции Костанайской области 16 мая 2011 года № 3760. Утратило силу - Постановлением акимата Костанайской области от 28 мая 2012 года № 250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Постановлением акимата Костанайской области от 28.05.2012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66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субсидируемые виды удобрений и нормативы субсидий на 1 тонну (литр, килограмм) удобрений, реализованных производителями.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субсидируемые виды удобрений и нормативы субсидий на 1 тонну (литр, килограмм) удобрений, приобретенных сельхозтоваропроизводителями у поставщика удобрений и (или) у иностранных производителей удобрений.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субсидируемые виды гербицидов и нормативы субсидий на 1 килограмм (литр) гербицидов, приобретенных сельхозтоваропроизводителями у поставщиков гербицидов.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сельского хозяйства акимата Костанайской области" распределить и довести объемы субсидий по удобрениям и гербицидам до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Кулагин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мая 2011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205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Субсидируемые виды удобрений и нормативы субсидий на</w:t>
      </w:r>
      <w:r>
        <w:br/>
      </w:r>
      <w:r>
        <w:rPr>
          <w:rFonts w:ascii="Times New Roman"/>
          <w:b/>
          <w:i w:val="false"/>
          <w:color w:val="000000"/>
        </w:rPr>
        <w:t>
1 тонну (литр, килограмм) удобрений,</w:t>
      </w:r>
      <w:r>
        <w:br/>
      </w:r>
      <w:r>
        <w:rPr>
          <w:rFonts w:ascii="Times New Roman"/>
          <w:b/>
          <w:i w:val="false"/>
          <w:color w:val="000000"/>
        </w:rPr>
        <w:t>
реализованных производителями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6953"/>
        <w:gridCol w:w="3033"/>
      </w:tblGrid>
      <w:tr>
        <w:trPr>
          <w:trHeight w:val="13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(№-10:Р-046)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after="0"/>
              <w:jc w:val="both"/>
            </w:pP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 -34,4)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spacing w:after="0"/>
              <w:jc w:val="both"/>
            </w:pP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(Р-19)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"/>
              </w:numPr>
              <w:spacing w:after="0"/>
              <w:jc w:val="both"/>
            </w:pP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(К2О5-42%,КСL-65%)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5"/>
              </w:numPr>
              <w:spacing w:after="0"/>
              <w:jc w:val="both"/>
            </w:pP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(К2О-53)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6"/>
              </w:numPr>
              <w:spacing w:after="0"/>
              <w:jc w:val="both"/>
            </w:pP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"МЭРС" марки "Б"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7"/>
              </w:numPr>
              <w:spacing w:after="0"/>
              <w:jc w:val="both"/>
            </w:pP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Биоудобрение "Биобарс" (№-10,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Р2О5-3,3, К-10%)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8"/>
              </w:numPr>
              <w:spacing w:after="0"/>
              <w:jc w:val="both"/>
            </w:pP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(навалом)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(Р2О5-17)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9"/>
              </w:numPr>
              <w:spacing w:after="0"/>
              <w:jc w:val="both"/>
            </w:pP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(фасованная)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(Р2О5-17)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мая 2011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205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Субсидируемые виды удобрений и нормативы субсидий</w:t>
      </w:r>
      <w:r>
        <w:br/>
      </w:r>
      <w:r>
        <w:rPr>
          <w:rFonts w:ascii="Times New Roman"/>
          <w:b/>
          <w:i w:val="false"/>
          <w:color w:val="000000"/>
        </w:rPr>
        <w:t>
на 1 тонну (литр, килограмм) удобрений,</w:t>
      </w:r>
      <w:r>
        <w:br/>
      </w:r>
      <w:r>
        <w:rPr>
          <w:rFonts w:ascii="Times New Roman"/>
          <w:b/>
          <w:i w:val="false"/>
          <w:color w:val="000000"/>
        </w:rPr>
        <w:t>
реализованных производителями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673"/>
        <w:gridCol w:w="2873"/>
      </w:tblGrid>
      <w:tr>
        <w:trPr>
          <w:trHeight w:val="13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тонну (литр,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(N-46,2; N46,3, N-46,4)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(N-15, Р15; К-15)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-24)+(Са;Мg;S)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амония (N-21)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"С" (N-0,1%,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—4%)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мая 2011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205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Субсидируемые виды удобрений и нормативы субсидий</w:t>
      </w:r>
      <w:r>
        <w:br/>
      </w:r>
      <w:r>
        <w:rPr>
          <w:rFonts w:ascii="Times New Roman"/>
          <w:b/>
          <w:i w:val="false"/>
          <w:color w:val="000000"/>
        </w:rPr>
        <w:t>
на 1 тонну (литр, килограмм) удобрений,</w:t>
      </w:r>
      <w:r>
        <w:br/>
      </w:r>
      <w:r>
        <w:rPr>
          <w:rFonts w:ascii="Times New Roman"/>
          <w:b/>
          <w:i w:val="false"/>
          <w:color w:val="000000"/>
        </w:rPr>
        <w:t>
реализованных производителями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193"/>
        <w:gridCol w:w="3493"/>
      </w:tblGrid>
      <w:tr>
        <w:trPr>
          <w:trHeight w:val="13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гербицидов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 (литр,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гербицидов,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к.э.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в.р.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с.п.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в.р.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Диален-супер 480, в.р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 к.э.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супер,10% к.э.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к.э.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к.э.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 к.э.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в.р.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Спрут, в.р.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в.р.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в.р.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 в.р.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 36% в.р.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к.к.р. (950 г/л)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