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8c305" w14:textId="b28c3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в период избирательных кампаний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 февраля 2011 года № 129. Зарегистрировано Управлением юстиции города Костаная Костанайской области 11 февраля 2011 года № 9-1-164. Утратило силу постановлением акимата города Костаная Костанайской области от 8 апреля 2021 года № 646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Костаная Костанайской области от 08.04.2021 </w:t>
      </w:r>
      <w:r>
        <w:rPr>
          <w:rFonts w:ascii="Times New Roman"/>
          <w:b w:val="false"/>
          <w:i w:val="false"/>
          <w:color w:val="ff0000"/>
          <w:sz w:val="28"/>
        </w:rPr>
        <w:t>№ 646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выборах в Республики Казахстан" от 28 сентября 1995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Республики Казахстан" от 23 января 2001 года, акимат города Костаная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Совместно с городской избирательной комиссией определить в городе Костанае следующие места для размещения агитационных печатных материалов для всех кандидатов в Президенты Республики Казахстан, в депутаты Парламента Республики Казахстан, областного и городского маслихатов: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стенды, тумбы и щиты, установленные возле остановочных павильонов для общественного транспорта;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информационные стенды, установленные возле учреждений образования и культуры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иных местах с разрешения собственников соответствующих объектов.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постановления акимата города Костаная "Об определении мест для размещения агитационных материалов кандидатов в депутаты" от 25 июня 2007 года </w:t>
      </w:r>
      <w:r>
        <w:rPr>
          <w:rFonts w:ascii="Times New Roman"/>
          <w:b w:val="false"/>
          <w:i w:val="false"/>
          <w:color w:val="000000"/>
          <w:sz w:val="28"/>
        </w:rPr>
        <w:t>№ 1605</w:t>
      </w:r>
      <w:r>
        <w:rPr>
          <w:rFonts w:ascii="Times New Roman"/>
          <w:b w:val="false"/>
          <w:i w:val="false"/>
          <w:color w:val="000000"/>
          <w:sz w:val="28"/>
        </w:rPr>
        <w:t xml:space="preserve"> (регистрационный номер 9-1-85, опубликовано от 26 июня 2007 года в газете "Костанай"), совместное постановление акимата города Костаная и Костанайской городской избирательной комиссии "Об определении мест для размещения агитационных печатных материалов" от 18 августа 2008 года </w:t>
      </w:r>
      <w:r>
        <w:rPr>
          <w:rFonts w:ascii="Times New Roman"/>
          <w:b w:val="false"/>
          <w:i w:val="false"/>
          <w:color w:val="000000"/>
          <w:sz w:val="28"/>
        </w:rPr>
        <w:t>№ 2/1</w:t>
      </w:r>
      <w:r>
        <w:rPr>
          <w:rFonts w:ascii="Times New Roman"/>
          <w:b w:val="false"/>
          <w:i w:val="false"/>
          <w:color w:val="000000"/>
          <w:sz w:val="28"/>
        </w:rPr>
        <w:t xml:space="preserve"> (регистрационный номер 9-1-110, опубликовано от 11 сентября 2008 года в газете "Костанай") и "Об определении мест для размещения агитационных печатных материалов" от 3 марта 2009 года </w:t>
      </w:r>
      <w:r>
        <w:rPr>
          <w:rFonts w:ascii="Times New Roman"/>
          <w:b w:val="false"/>
          <w:i w:val="false"/>
          <w:color w:val="000000"/>
          <w:sz w:val="28"/>
        </w:rPr>
        <w:t>№ 367</w:t>
      </w:r>
      <w:r>
        <w:rPr>
          <w:rFonts w:ascii="Times New Roman"/>
          <w:b w:val="false"/>
          <w:i w:val="false"/>
          <w:color w:val="000000"/>
          <w:sz w:val="28"/>
        </w:rPr>
        <w:t xml:space="preserve"> (регистрационный номер 9-1-124, опубликовано от 12 марта 2009 года в газете "Костанай").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после дня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790"/>
        <w:gridCol w:w="1510"/>
      </w:tblGrid>
      <w:tr>
        <w:trPr>
          <w:trHeight w:val="30" w:hRule="atLeast"/>
        </w:trPr>
        <w:tc>
          <w:tcPr>
            <w:tcW w:w="10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 Костаная</w:t>
            </w:r>
          </w:p>
        </w:tc>
        <w:tc>
          <w:tcPr>
            <w:tcW w:w="15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Нургалиев</w:t>
            </w:r>
          </w:p>
        </w:tc>
      </w:tr>
      <w:tr>
        <w:trPr>
          <w:trHeight w:val="30" w:hRule="atLeast"/>
        </w:trPr>
        <w:tc>
          <w:tcPr>
            <w:tcW w:w="10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городской</w:t>
            </w:r>
          </w:p>
        </w:tc>
        <w:tc>
          <w:tcPr>
            <w:tcW w:w="15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избирательной комиссии</w:t>
            </w:r>
          </w:p>
        </w:tc>
        <w:tc>
          <w:tcPr>
            <w:tcW w:w="15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 В. Макерова</w:t>
            </w:r>
          </w:p>
        </w:tc>
        <w:tc>
          <w:tcPr>
            <w:tcW w:w="15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