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37448" w14:textId="2837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апреля 2009 года № 118 "Об установлении стоимости разовых талонов для субъектов торговой деятельности Аулиекольского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Аулиекольского района Костанайской области от 4 февраля 2011 года № 220. Зарегистрировано Управлением юстиции Аулиекольского района Костанайской области 4 марта 2011 года № 9-7-130. Утратило силу решением маслихата Аулиекольского района Костанайской области от 14 февраля 2013 года № 69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решением маслихата Аулиекольского района Костанайской области от 14.02.2013 № 69.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декабря 2008 года "О введении в действие Кодекса Республики Казахстан "О налогах и других обязательных платежах в бюджет" (</w:t>
      </w:r>
      <w:r>
        <w:rPr>
          <w:rFonts w:ascii="Times New Roman"/>
          <w:b w:val="false"/>
          <w:i w:val="false"/>
          <w:color w:val="000000"/>
          <w:sz w:val="28"/>
        </w:rPr>
        <w:t>Налоговый кодекс</w:t>
      </w:r>
      <w:r>
        <w:rPr>
          <w:rFonts w:ascii="Times New Roman"/>
          <w:b w:val="false"/>
          <w:i w:val="false"/>
          <w:color w:val="000000"/>
          <w:sz w:val="28"/>
        </w:rPr>
        <w:t xml:space="preserve">) Аулиекольский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"Об установлении стоимости разовых талонов для субъектов торговой деятельности Аулиекольского района" от 21 апреля 2009 года </w:t>
      </w:r>
      <w:r>
        <w:rPr>
          <w:rFonts w:ascii="Times New Roman"/>
          <w:b w:val="false"/>
          <w:i w:val="false"/>
          <w:color w:val="000000"/>
          <w:sz w:val="28"/>
        </w:rPr>
        <w:t>№ 118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за № 9-7-98, опубликовано 14 мая 2009 года в газете "Әулиекөл")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"физических лиц" заменить словами "граждан Республики Казахстан, оралманов";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Данное решение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пятнадцатой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Бондаренко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"Налоговое управление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Аулиекольскому району"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Налогового Департамента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 Налогового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Комитета Министерства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Жумабаев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2011 года № 220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 оралманов предпринимательская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0"/>
        <w:gridCol w:w="6842"/>
        <w:gridCol w:w="1800"/>
        <w:gridCol w:w="2078"/>
      </w:tblGrid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п/п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предпринимательской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деятельности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разового талона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в день (тенге)
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 рынка</w:t>
            </w:r>
          </w:p>
        </w:tc>
      </w:tr>
      <w:tr>
        <w:trPr>
          <w:trHeight w:val="525" w:hRule="atLeast"/>
        </w:trPr>
        <w:tc>
          <w:tcPr>
            <w:tcW w:w="8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(за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исключением деятельности,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осуществляемой в стационарных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помещениях):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 и журналов,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семян, а также посадочного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 (саженцы, рассада),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бахчевых культур,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живых цветов, выращенных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дачных и придомовых участках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продуктов подсобного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хозяйства, садоводства,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огородничества и дачных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кормов для животных и птиц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веников, метел,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лесных ягод,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3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меда,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грибов,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рыбы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тракторов по обработке земельных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участков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Выпас домашних животных и птиц</w:t>
            </w:r>
          </w:p>
        </w:tc>
        <w:tc>
          <w:tcPr>
            <w:tcW w:w="1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4 февраля 2011 года № 220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21 апреля 2009 года № 118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 оралманов, индивидуальных предпринимателей и юридических лиц, осуществляющих реализацию товаров на рынках Аулиекольского района, за исключением реализации в киосках, стационарных помещениях (изолированных блоках) на территории рынков Аулиекольского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01"/>
        <w:gridCol w:w="3163"/>
        <w:gridCol w:w="2993"/>
        <w:gridCol w:w="2483"/>
        <w:gridCol w:w="2100"/>
      </w:tblGrid>
      <w:tr>
        <w:trPr>
          <w:trHeight w:val="645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рынка и товарная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реализуемых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товаров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Торговое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место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талона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 день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(тенге)</w:t>
            </w:r>
          </w:p>
        </w:tc>
      </w:tr>
      <w:tr>
        <w:trPr>
          <w:trHeight w:val="390" w:hRule="atLeast"/>
        </w:trPr>
        <w:tc>
          <w:tcPr>
            <w:tcW w:w="8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66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"Аулиеколь-Сервис"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плодо-овощная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животные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6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35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поселка Кушмурун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1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Овощная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плодо-овощная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продукция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(оптовая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торговля)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5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мясопродукты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Запасные части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</w:t>
            </w:r>
          </w:p>
        </w:tc>
      </w:tr>
      <w:tr>
        <w:trPr>
          <w:trHeight w:val="4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Домашние животные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Птица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рынке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30" w:hRule="atLeast"/>
        </w:trPr>
        <w:tc>
          <w:tcPr>
            <w:tcW w:w="8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мини-рынок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"Толенгит"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(универсальный)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Товары бывшие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употреблении</w:t>
            </w:r>
          </w:p>
        </w:tc>
        <w:tc>
          <w:tcPr>
            <w:tcW w:w="2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Прилавок</w:t>
            </w:r>
          </w:p>
        </w:tc>
        <w:tc>
          <w:tcPr>
            <w:tcW w:w="2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