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4122d" w14:textId="ae412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для безработных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9 марта 2011 года № 70. Зарегистрировано Управлением юстиции Денисовского района Костанайской области 6 апреля 2011 года № 9-8-170. Утратило силу в связи прекращением срока действия - письмо акима Денисовского района Костанайской области от 4 января 2012 года № 07-09/2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прекращением срока действия - письмо акима Денисовского района Костанайской области от 04.01.2012 № 07-09/2.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условия общественных работ для безработных на 2011 год по Денисовскому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размер оплаты труда безработных, участвующих в общественных работах, в размере полутора минимальной заработной платы, установленной на 2011 год,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социальные отчисления в Государственный фонд социального страхования, социальный налог и налог на добавленную стоимость при организации общественных работ возмещаются из районного бюджета и перечисляются на расчетные счета работодателей;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расходы на оплату комиссионного вознаграждения за услуги банков второго уровня по зачислению и выплате заработной платы в размерах, установленных договором на выполнение общественных работ, возмещаются из районного бюджета на расчетные счета работодателей.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постановлением  акимата Денисовского района Костанайской области от 19.08.2011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Организацию общественных работ производить на условиях, указанных в договоре на выполнение общественных работ, заключенном в соответствии с действующим законодательством, между государственным учреждением "Отдел занятости и социальных программ Денисовского района" и организациями, определенными в перечне.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"Отдел занятости и социальных программ Денисовского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заключить с работодателями договора на выполнение общественных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осуществлять учет безработных, участвующих в общественных работах;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руководствоваться настоящим постановлением при направлении безработных на общественные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"Отдел финансов Денисовского района" (Рахметова С.Ф.) обеспечить своевременное выделение средств на оплату труда безработных, участвующих в общественных работах.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Акимам сельских округов и сел, на территории которых проводятся общественные работы, оказывать помощь в организации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постановления возложить на заместителя акима Денисовского района Муратбекова М.Т.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Денисовского района                   В. Ионенко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марта 2011 года № 70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условия общественных</w:t>
      </w:r>
      <w:r>
        <w:br/>
      </w:r>
      <w:r>
        <w:rPr>
          <w:rFonts w:ascii="Times New Roman"/>
          <w:b/>
          <w:i w:val="false"/>
          <w:color w:val="000000"/>
        </w:rPr>
        <w:t>
работ на 2011 год по Денисовскому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2652"/>
        <w:gridCol w:w="3120"/>
        <w:gridCol w:w="2397"/>
        <w:gridCol w:w="2952"/>
      </w:tblGrid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</w:t>
            </w:r>
          </w:p>
        </w:tc>
      </w:tr>
      <w:tr>
        <w:trPr>
          <w:trHeight w:val="1980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"Дидар"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Перелески,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</w:t>
            </w:r>
          </w:p>
        </w:tc>
      </w:tr>
      <w:tr>
        <w:trPr>
          <w:trHeight w:val="22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Антоновка,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Свердловка,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Приреченка,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Крымское,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Фрунзенское,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Некрасовка,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Зааятское,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Аршалы,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Аятское,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Комаровка,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Покровка,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Глебовка,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Денисовка,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"Детский сад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1" ГУ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ремонте,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садика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1, не 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</w:t>
            </w:r>
          </w:p>
        </w:tc>
      </w:tr>
      <w:tr>
        <w:trPr>
          <w:trHeight w:val="22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"Ясли -сад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40"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ремонте,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садика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40, не 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</w:t>
            </w:r>
          </w:p>
        </w:tc>
      </w:tr>
      <w:tr>
        <w:trPr>
          <w:trHeight w:val="22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"Солнечный"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ремонте,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лагеря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"Солнечный",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