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171" w14:textId="841a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7 февраля 2011 года № 45. Зарегистрировано Управлением юстиции Узункольского района Костанайской области 22 февраля 2011 года № 9-19-148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временные рабочие места для организаций общественных работ, виды, объемы и конкретные условия общественных работ в Узункольском районе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акимата Узункольского района Костанайской области от 17.05.2011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 по оказанию услуг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оплачиваемые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местного бюджета денежные средства на расчетные счета работодателей, для возмещения расходов на оплату труда участников общественных работ, в том числе обязательные пенсионные взносы, подоходный налог, установленные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до востребования или на счета дебетовых платежных карточек банка, причитающихся участникам общественных работ, в размерах, установленных договором,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Узункольского района Костанайской области от 17.05.2011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февраля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2011 года № 45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предоставляющих временные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организации общественных работ, виды,</w:t>
      </w:r>
      <w:r>
        <w:br/>
      </w:r>
      <w:r>
        <w:rPr>
          <w:rFonts w:ascii="Times New Roman"/>
          <w:b/>
          <w:i w:val="false"/>
          <w:color w:val="000000"/>
        </w:rPr>
        <w:t>
объемы и конкретные размеры оплаты труда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Узункольского района Костанайской области 14.04.2011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133"/>
        <w:gridCol w:w="3573"/>
        <w:gridCol w:w="1393"/>
        <w:gridCol w:w="279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работах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