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7b67" w14:textId="29d7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7 февраля 2011 года № 45 "Об организации оплачиваемых общественных работ в Узункольском районе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14 апреля 2011 года № 90. Зарегистрировано Управлением юстиции Узункольского района Костанайской области 6 мая 2011 года № 9-19-155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Узункольском районе на 2011 год" от 7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9-19-148, опубликовано 3 марта 2011 года в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таблице, в графе "Объем работ" цифры "19050" заменить на цифры "152400";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К.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