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a3f5" w14:textId="7d3a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7 февраля 2011 года № 45 "Об организации оплачиваемых общественных работ в Узункольском районе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17 мая 2011 года № 138. Зарегистрировано Управлением юстиции Узункольского района Костанайской области 1 июня 2011 года № 9-19-156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местком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Узункольском районе на 2011 год" от 7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9-19-148, опубликовано 3 марта 2011 года в газете "Нұрлы жол")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 перечень организаций, предоставляющих временные рабочие места для организаций общественных работ, виды, объемы и конкретные условия общественных работ в Узункольском районе на 2011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работах, в размере полутораминимальной месячной заработной платы в месяц за счет средств районного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осуществлять направление безработных на оплачиваемые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перечислять из средств местного бюджета денежные средства на расчетные счета работодателей, для возмещения расходов на оплату труда участников общественных работ, в том числе обязательные пенсионные взносы, подоходный налог, установленные на 2011 год.";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таблицы после слов "объемы и" дополнить словом "конкретные";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графы в таблице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"Конкретные условия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 "Узункольская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области",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К.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Аскарова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Сарсенова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