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6ae" w14:textId="ef41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2012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2011 года N 403/40. Зарегистрировано Департаментом юстиции Павлодарской области 06 января 2012 года N 3197.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 Республики Казахстан"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Ставки платы за лесные пользования на 2012 год по государственным учреждениям по охране лесов и животного мира управления природных ресурсов и регулирования природопользования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лесные пользования на 2012 год по Баянаульскому государственному национальному природному парку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лесные пользования на 2012 год по государственному лесному природному резервату "Ертіс орманы"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                      Ж. Нуралин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N 403/40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2011 года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2012 годы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учреждения по охране лесов и животного</w:t>
      </w:r>
      <w:r>
        <w:br/>
      </w:r>
      <w:r>
        <w:rPr>
          <w:rFonts w:ascii="Times New Roman"/>
          <w:b/>
          <w:i w:val="false"/>
          <w:color w:val="000000"/>
        </w:rPr>
        <w:t>
мира управления природных ресурсов и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природопользования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458"/>
        <w:gridCol w:w="2414"/>
        <w:gridCol w:w="3041"/>
        <w:gridCol w:w="3481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2011 год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2012 год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Сенокошение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Пастьба скота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Размещение ульев и пасек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пчело-семей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пчело-семья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Заготовка второстепенных древесных ресурсов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березы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За долгосрочное лесопользование участками ГЛФ для научно-исследовательских и культурно-оздоровительных целях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 долгосрочное лесопользование участками ГЛФ для рекреационных, туристских и спортивных целей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N 403/40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2011 года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2012 год по Баянальскому ГНПП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631"/>
        <w:gridCol w:w="2405"/>
        <w:gridCol w:w="2966"/>
        <w:gridCol w:w="338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2011 год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2012 год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Сенокошение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Пастьба скота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Размещение ульев и пасек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пчело-семей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пчело-семья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Заготовка второстепенных древесных ресурсов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сосны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За долгосрочное лесопользование участками ГЛФ для научно-исследовательских и культурно-оздоровительных целях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 долгосрочное лесопользование участками ГЛФ для рекреационных, туристских и спортивных целей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N 403/40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2011 года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2012 год по ГЛПР "Ертіс орманы"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631"/>
        <w:gridCol w:w="2405"/>
        <w:gridCol w:w="2966"/>
        <w:gridCol w:w="338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2011 год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2012 год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Сенокошение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Пастьба скота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Размещение ульев и пасек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пчело-семей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пчело-семья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Заготовка второстепенных древесных ресурсов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сосны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За долгосрочное лесопользование участками ГЛФ для научно-исследовательских и культурно-оздоровительных целей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 долгосрочное лесопользование участками ГЛФ для рекреационных, туристских и спортивных целей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