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fad2" w14:textId="432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района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Габита Мусрепова Северо-Казахстанской области от 28 марта 2011 года N 24-2. Зарегистрировано Департаментом юстиции Северо-Казахстанской области 19 апреля 2011 года N 13-5-127. Утратило силу решением маслихата района имени Габита Мусрепова Северо-Казахстанской области от 24 декабря 2013 года N 22-5</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24.12.2013 </w:t>
      </w:r>
      <w:r>
        <w:rPr>
          <w:rFonts w:ascii="Times New Roman"/>
          <w:b w:val="false"/>
          <w:i w:val="false"/>
          <w:color w:val="ff0000"/>
          <w:sz w:val="28"/>
        </w:rPr>
        <w:t>N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района имени Габита Мусрепова:</w:t>
      </w:r>
      <w:r>
        <w:br/>
      </w:r>
      <w:r>
        <w:rPr>
          <w:rFonts w:ascii="Times New Roman"/>
          <w:b w:val="false"/>
          <w:i w:val="false"/>
          <w:color w:val="000000"/>
          <w:sz w:val="28"/>
        </w:rPr>
        <w:t>
      1) участникам, инвалидам Великой Отечественной войны, а также лицам, приравненным по льготам и гарантиям к участникам и инвалидам Великой Отечественной войны на посещение бань и парикмахерских в размере 400 тенге не позднее 25 числа каждого месяца, на зубопротезирование в размере стоимости предоставленной счет-фактуры (кроме драгоценных металлов, протезов из металлокерамики и металлопластики) один раз в три года, не позднее 25 числа месяца обращения заявителя;</w:t>
      </w:r>
      <w:r>
        <w:br/>
      </w:r>
      <w:r>
        <w:rPr>
          <w:rFonts w:ascii="Times New Roman"/>
          <w:b w:val="false"/>
          <w:i w:val="false"/>
          <w:color w:val="000000"/>
          <w:sz w:val="28"/>
        </w:rPr>
        <w:t>
      2) гражданам, больным активным туберкулезом для обеспечения дополнительного питания в размере один МРП ежемесячно, не позднее 25 числа месяца обращения заявителя;</w:t>
      </w:r>
      <w:r>
        <w:br/>
      </w:r>
      <w:r>
        <w:rPr>
          <w:rFonts w:ascii="Times New Roman"/>
          <w:b w:val="false"/>
          <w:i w:val="false"/>
          <w:color w:val="000000"/>
          <w:sz w:val="28"/>
        </w:rPr>
        <w:t>
      3) участникам, инвалидам Великой Отечественной войны, а также лицам, приравненным по льготам и гарантиям к участникам и инвалидам войны, другим категориям лиц, приравненных по льготам и гарантиям к участникам войны, многодетным матерям, награжденными подвесками «Алтын алқа», «Күміс алқа» или получившими ранее звание «Мать-героиня», а также награжденными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инвалидам I, II и III групп на санаторно-курортное лечение один раз в год по фактической стоимости путевки не позднее 25 числа месяца обращения заявителя;</w:t>
      </w:r>
      <w:r>
        <w:br/>
      </w:r>
      <w:r>
        <w:rPr>
          <w:rFonts w:ascii="Times New Roman"/>
          <w:b w:val="false"/>
          <w:i w:val="false"/>
          <w:color w:val="000000"/>
          <w:sz w:val="28"/>
        </w:rPr>
        <w:t>
      4)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инвалидам первой, второй и третьей групп; многодетным матерям, награжденными подвесками «Алтын алқа», «Күміс алқа» или получившими ранее звание "Мать-героиня", а также награжденными орденами "Материнская слава" I и II степени; Героям Советского Союза, Героям Социалистического Труда, кавалерам орденов Славы трех степеней, Трудовой Славы трех степеней, постоянно проживающим на территории района, на экскурсионные поездки в город Астана один раз в год, в размере фактической стоимости путевки, не позднее 25 числа месяца обращения заявителя.</w:t>
      </w:r>
      <w:r>
        <w:br/>
      </w:r>
      <w:r>
        <w:rPr>
          <w:rFonts w:ascii="Times New Roman"/>
          <w:b w:val="false"/>
          <w:i w:val="false"/>
          <w:color w:val="000000"/>
          <w:sz w:val="28"/>
        </w:rPr>
        <w:t>
      1-1.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лицам, приравненным по льготам и гарантиям к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ежемесячная социальная помощь для обеспечения дополнительного питания гражданам, больным активным туберкулезом назначается с месяца обращения на текущий месяц после возникновения права на неҰ, на основании списка территориального медицинского учреждения;</w:t>
      </w:r>
      <w:r>
        <w:br/>
      </w:r>
      <w:r>
        <w:rPr>
          <w:rFonts w:ascii="Times New Roman"/>
          <w:b w:val="false"/>
          <w:i w:val="false"/>
          <w:color w:val="000000"/>
          <w:sz w:val="28"/>
        </w:rPr>
        <w:t>
      3) социальная помощь на зубопротезирование осуществляется медицинской организацией, имеющей лицензию на зубопротезирование, в размере стоимости зубопротезирования (кроме драгоценных металлов, протезов из металлокерамики и металлопластики) в пределах средств, предусмотренных бюджетом района;</w:t>
      </w:r>
      <w:r>
        <w:br/>
      </w:r>
      <w:r>
        <w:rPr>
          <w:rFonts w:ascii="Times New Roman"/>
          <w:b w:val="false"/>
          <w:i w:val="false"/>
          <w:color w:val="000000"/>
          <w:sz w:val="28"/>
        </w:rPr>
        <w:t>
      4)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банковых операций в течение тридцати календарных дней со дня приема документов.</w:t>
      </w:r>
      <w:r>
        <w:br/>
      </w:r>
      <w:r>
        <w:rPr>
          <w:rFonts w:ascii="Times New Roman"/>
          <w:b w:val="false"/>
          <w:i w:val="false"/>
          <w:color w:val="000000"/>
          <w:sz w:val="28"/>
        </w:rPr>
        <w:t>
</w:t>
      </w:r>
      <w:r>
        <w:rPr>
          <w:rFonts w:ascii="Times New Roman"/>
          <w:b w:val="false"/>
          <w:i w:val="false"/>
          <w:color w:val="000000"/>
          <w:sz w:val="28"/>
        </w:rPr>
        <w:t>
      2. Перечень необходимых документов для назначения социальной помощи отдельным категориям нуждающихся граждан согласно приложению</w:t>
      </w:r>
      <w:r>
        <w:rPr>
          <w:rFonts w:ascii="Times New Roman"/>
          <w:b/>
          <w:i w:val="false"/>
          <w:color w:val="000000"/>
          <w:sz w:val="28"/>
        </w:rPr>
        <w:t>.</w:t>
      </w:r>
      <w:r>
        <w:rPr>
          <w:rFonts w:ascii="Times New Roman"/>
          <w:b w:val="false"/>
          <w:i w:val="false"/>
          <w:color w:val="000000"/>
          <w:sz w:val="28"/>
        </w:rPr>
        <w:t xml:space="preserve"> Срок рассмотрения документов -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производятся за счет средств местного бюджета, предусмотренных на эти цели в финансовом году по программе 451-007-000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района имени Габита Мусрепова» принять меры по обеспечению назначения и выплате социальной помощи вышеуказанным категориям граждан.</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истечению десяти календарных дней, после дня его первого официального опубликования в средствах массовой информации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XXIV</w:t>
      </w:r>
      <w:r>
        <w:rPr>
          <w:rFonts w:ascii="Times New Roman"/>
          <w:b w:val="false"/>
          <w:i/>
          <w:color w:val="000000"/>
          <w:sz w:val="28"/>
        </w:rPr>
        <w:t xml:space="preserve"> сессии                   Секретарь </w:t>
      </w:r>
      <w:r>
        <w:br/>
      </w:r>
      <w:r>
        <w:rPr>
          <w:rFonts w:ascii="Times New Roman"/>
          <w:b w:val="false"/>
          <w:i w:val="false"/>
          <w:color w:val="000000"/>
          <w:sz w:val="28"/>
        </w:rPr>
        <w:t>
</w:t>
      </w:r>
      <w:r>
        <w:rPr>
          <w:rFonts w:ascii="Times New Roman"/>
          <w:b w:val="false"/>
          <w:i/>
          <w:color w:val="000000"/>
          <w:sz w:val="28"/>
        </w:rPr>
        <w:t xml:space="preserve">      районного маслихата                        районного маслихата </w:t>
      </w:r>
      <w:r>
        <w:br/>
      </w:r>
      <w:r>
        <w:rPr>
          <w:rFonts w:ascii="Times New Roman"/>
          <w:b w:val="false"/>
          <w:i w:val="false"/>
          <w:color w:val="000000"/>
          <w:sz w:val="28"/>
        </w:rPr>
        <w:t>
</w:t>
      </w:r>
      <w:r>
        <w:rPr>
          <w:rFonts w:ascii="Times New Roman"/>
          <w:b w:val="false"/>
          <w:i/>
          <w:color w:val="000000"/>
          <w:sz w:val="28"/>
        </w:rPr>
        <w:t>      С. Малаев                                  Б. Искакова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xml:space="preserve">      Начальник </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xml:space="preserve">      программ района имени </w:t>
      </w:r>
      <w:r>
        <w:br/>
      </w:r>
      <w:r>
        <w:rPr>
          <w:rFonts w:ascii="Times New Roman"/>
          <w:b w:val="false"/>
          <w:i w:val="false"/>
          <w:color w:val="000000"/>
          <w:sz w:val="28"/>
        </w:rPr>
        <w:t>
</w:t>
      </w:r>
      <w:r>
        <w:rPr>
          <w:rFonts w:ascii="Times New Roman"/>
          <w:b w:val="false"/>
          <w:i/>
          <w:color w:val="000000"/>
          <w:sz w:val="28"/>
        </w:rPr>
        <w:t>      Габита Мусрепова»                          Н. Баракаев</w:t>
      </w:r>
    </w:p>
    <w:bookmarkStart w:name="z7"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 предоставлении социальной</w:t>
      </w:r>
      <w:r>
        <w:br/>
      </w:r>
      <w:r>
        <w:rPr>
          <w:rFonts w:ascii="Times New Roman"/>
          <w:b w:val="false"/>
          <w:i w:val="false"/>
          <w:color w:val="000000"/>
          <w:sz w:val="28"/>
        </w:rPr>
        <w:t>
помощи отдельным категориям нуждающихся</w:t>
      </w:r>
      <w:r>
        <w:br/>
      </w:r>
      <w:r>
        <w:rPr>
          <w:rFonts w:ascii="Times New Roman"/>
          <w:b w:val="false"/>
          <w:i w:val="false"/>
          <w:color w:val="000000"/>
          <w:sz w:val="28"/>
        </w:rPr>
        <w:t>
граждан района имени Габита Мусрепова»</w:t>
      </w:r>
      <w:r>
        <w:br/>
      </w:r>
      <w:r>
        <w:rPr>
          <w:rFonts w:ascii="Times New Roman"/>
          <w:b w:val="false"/>
          <w:i w:val="false"/>
          <w:color w:val="000000"/>
          <w:sz w:val="28"/>
        </w:rPr>
        <w:t>
от 28 марта 2011 года № 24-2</w:t>
      </w:r>
    </w:p>
    <w:bookmarkEnd w:id="2"/>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нуждающихся граждан</w:t>
      </w:r>
    </w:p>
    <w:p>
      <w:pPr>
        <w:spacing w:after="0"/>
        <w:ind w:left="0"/>
        <w:jc w:val="both"/>
      </w:pP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копия удостоверения инвалида, участника Великой Отечественной войны или лица, приравненного к ним;</w:t>
      </w:r>
      <w:r>
        <w:br/>
      </w:r>
      <w:r>
        <w:rPr>
          <w:rFonts w:ascii="Times New Roman"/>
          <w:b w:val="false"/>
          <w:i w:val="false"/>
          <w:color w:val="000000"/>
          <w:sz w:val="28"/>
        </w:rPr>
        <w:t>
      4) копия лицевого счета заявителя;</w:t>
      </w:r>
      <w:r>
        <w:br/>
      </w:r>
      <w:r>
        <w:rPr>
          <w:rFonts w:ascii="Times New Roman"/>
          <w:b w:val="false"/>
          <w:i w:val="false"/>
          <w:color w:val="000000"/>
          <w:sz w:val="28"/>
        </w:rPr>
        <w:t>
      5) копия документа, подтверждающая место жительство;</w:t>
      </w:r>
      <w:r>
        <w:br/>
      </w:r>
      <w:r>
        <w:rPr>
          <w:rFonts w:ascii="Times New Roman"/>
          <w:b w:val="false"/>
          <w:i w:val="false"/>
          <w:color w:val="000000"/>
          <w:sz w:val="28"/>
        </w:rPr>
        <w:t>
      6) справка с территориального медицинского учреждения о том, что состоит на диспансерном учете по активной группе - при оказании социальной помощи для обеспечения дополнительным питанием гражданам больным активным туберкулезом;</w:t>
      </w:r>
      <w:r>
        <w:br/>
      </w:r>
      <w:r>
        <w:rPr>
          <w:rFonts w:ascii="Times New Roman"/>
          <w:b w:val="false"/>
          <w:i w:val="false"/>
          <w:color w:val="000000"/>
          <w:sz w:val="28"/>
        </w:rPr>
        <w:t>
      7) счет-фактуру от медицинской организации о стоимости зубопротезирования - при оказании социальной помощи на зубопротезирование и санаторно-курортное лечение;</w:t>
      </w:r>
      <w:r>
        <w:br/>
      </w:r>
      <w:r>
        <w:rPr>
          <w:rFonts w:ascii="Times New Roman"/>
          <w:b w:val="false"/>
          <w:i w:val="false"/>
          <w:color w:val="000000"/>
          <w:sz w:val="28"/>
        </w:rPr>
        <w:t>
      8) санаторно-курортная карта о необходимости в санаторно-курортном лечении;</w:t>
      </w:r>
      <w:r>
        <w:br/>
      </w:r>
      <w:r>
        <w:rPr>
          <w:rFonts w:ascii="Times New Roman"/>
          <w:b w:val="false"/>
          <w:i w:val="false"/>
          <w:color w:val="000000"/>
          <w:sz w:val="28"/>
        </w:rPr>
        <w:t>
      9)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В день приема полного пакета документов оригиналы после сверки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