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5b6b3" w14:textId="025b6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22 декабря 2011 года N 40/1. Зарегистрировано Департаментом юстиции Северо-Казахстанской области 25 января 2012 года N 13-10-148. Утратило силу в связи с истечением срока действия (письмо маслихата Мамлютского района Северо-Казахстанской области от 24 января 2013 года N 03-03/10)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маслихата Мамлютского района Северо-Казахстанской области от 24.01.2013 N 03-03/10)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2105541,3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241306,1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6066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15455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1842714,2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2124077,0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13067,9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14561,9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11791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11791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-43394,6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43394,6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14553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30335,6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Мамлютского района Северо-Казахстанской области от 04.12.2012 </w:t>
      </w:r>
      <w:r>
        <w:rPr>
          <w:rFonts w:ascii="Times New Roman"/>
          <w:b w:val="false"/>
          <w:i w:val="false"/>
          <w:color w:val="000000"/>
          <w:sz w:val="28"/>
        </w:rPr>
        <w:t>N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2012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физических лиц, осуществляющих деятельность по разовым талонам в размере 100 % зачисляемого в районный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 в размере 100 % зачисляемого в районный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налога на имущество физических и юридических лиц, индивидуальных предпринимателей;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 на 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плата за пользование земельными участками;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деятельности, кроме сборов, зачисляемых в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Мамлютского района Северо-Казахстанской области от 02.11.2012 </w:t>
      </w:r>
      <w:r>
        <w:rPr>
          <w:rFonts w:ascii="Times New Roman"/>
          <w:b w:val="false"/>
          <w:i w:val="false"/>
          <w:color w:val="000000"/>
          <w:sz w:val="28"/>
        </w:rPr>
        <w:t>N 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 следующих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Мамлютского района Северо-Казахстанской области от 02.11.2012 </w:t>
      </w:r>
      <w:r>
        <w:rPr>
          <w:rFonts w:ascii="Times New Roman"/>
          <w:b w:val="false"/>
          <w:i w:val="false"/>
          <w:color w:val="000000"/>
          <w:sz w:val="28"/>
        </w:rPr>
        <w:t>N 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доходы районного бюджета формируются за счет: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погашения бюджетных кредитов, выданных из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субвенцию, передаваемую из областного </w:t>
      </w:r>
      <w:r>
        <w:rPr>
          <w:rFonts w:ascii="Times New Roman"/>
          <w:b w:val="false"/>
          <w:i w:val="false"/>
          <w:color w:val="000000"/>
          <w:sz w:val="28"/>
        </w:rPr>
        <w:t>бюджета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бюджет района на 2012 год в сумме 1476982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2012 год целевые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6267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3483 тысяч тенге – на реализацию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1580 тыс.тенге – на предоставление специальных социальных услуг, в том числе: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45225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12287,4 тысяч тенге – на реализацию Государственной программы развития образования Республики Казахстан на 2011-2020 годы (утверждена Указом Президента Республики Казахстан от 07 декабря 2010 года № 1118 «Об утверждении Государственной программы развития образования Республики Казахстан на 2011-2020 годы»),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8188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– 4099,4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5000 тысяч тенге –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12757 тысяч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490 тысяч тенге – на повышение оплаты труда учителям, прошедшим повышение квалификации по учебным программам АОО «Назарбаев Интеллектуальные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20165 тысяч тенге – на реализацию мероприятий в рамках Программы занятости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6296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688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населения – 10207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–2974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1751 тысяч тенге – на решение вопросов обустройства аульных (сельских) округов в реализации мер по содействие экономическому развитию регионов в рамках Программы «Развитие регионов».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38622 тысяч тенге –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приобретение служебного жилища – 38622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90000 тысяч тенге – на развитие системы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25687,8 тысяч тенге – на развитие сельских населенных пунктов в рамках Программы занятости 2020 (утверждена Постановлением Республики Казахстан от 31 марта 2011 года № 316 «Об утверждении Программы занятости 2020»)»;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55000 тысяч тенге – на проектирование, строительство и (или) приобретение жилья государственного коммунального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 решениями маслихата Мамлютского района Северо-Казахстанской области от 06.03.2012 </w:t>
      </w:r>
      <w:r>
        <w:rPr>
          <w:rFonts w:ascii="Times New Roman"/>
          <w:b w:val="false"/>
          <w:i w:val="false"/>
          <w:color w:val="000000"/>
          <w:sz w:val="28"/>
        </w:rPr>
        <w:t>N 2/2</w:t>
      </w:r>
      <w:r>
        <w:rPr>
          <w:rFonts w:ascii="Times New Roman"/>
          <w:b w:val="false"/>
          <w:i w:val="false"/>
          <w:color w:val="ff0000"/>
          <w:sz w:val="28"/>
        </w:rPr>
        <w:t xml:space="preserve">;  от 16.04.2012 </w:t>
      </w:r>
      <w:r>
        <w:rPr>
          <w:rFonts w:ascii="Times New Roman"/>
          <w:b w:val="false"/>
          <w:i w:val="false"/>
          <w:color w:val="000000"/>
          <w:sz w:val="28"/>
        </w:rPr>
        <w:t>N 3/1</w:t>
      </w:r>
      <w:r>
        <w:rPr>
          <w:rFonts w:ascii="Times New Roman"/>
          <w:b w:val="false"/>
          <w:i w:val="false"/>
          <w:color w:val="ff0000"/>
          <w:sz w:val="28"/>
        </w:rPr>
        <w:t xml:space="preserve">; 06.08.2012 </w:t>
      </w:r>
      <w:r>
        <w:rPr>
          <w:rFonts w:ascii="Times New Roman"/>
          <w:b w:val="false"/>
          <w:i w:val="false"/>
          <w:color w:val="000000"/>
          <w:sz w:val="28"/>
        </w:rPr>
        <w:t>N 5/3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02.11.2012 </w:t>
      </w:r>
      <w:r>
        <w:rPr>
          <w:rFonts w:ascii="Times New Roman"/>
          <w:b w:val="false"/>
          <w:i w:val="false"/>
          <w:color w:val="000000"/>
          <w:sz w:val="28"/>
        </w:rPr>
        <w:t>N 8/1</w:t>
      </w:r>
      <w:r>
        <w:rPr>
          <w:rFonts w:ascii="Times New Roman"/>
          <w:b w:val="false"/>
          <w:i w:val="false"/>
          <w:color w:val="ff0000"/>
          <w:sz w:val="28"/>
        </w:rPr>
        <w:t xml:space="preserve">; 04.12.2012 </w:t>
      </w:r>
      <w:r>
        <w:rPr>
          <w:rFonts w:ascii="Times New Roman"/>
          <w:b w:val="false"/>
          <w:i w:val="false"/>
          <w:color w:val="000000"/>
          <w:sz w:val="28"/>
        </w:rPr>
        <w:t>N 9/2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2012 год целевые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5494 тысяч тенге – на выплату социальной помощи в рамках Программы по стимулированию рождаемости «Фонд поколений»;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300 тысяч тенге – на установку противопожарной сигнализации, приобретение средств пожаротушения, услуг по обработке деревянных покрытий (конструкций) для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299 тысяч тенге – на приобретение и установку аппаратуры для видеонаблюдения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12970 тысяч тенге –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8000 тысяч тенге – на формирование уставного капитала ветеринарных станций;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9000 тысяч тенге – на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347 тысяч тенге – на подключение ID-Phone;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10000 тысяч тенге – на проведение капитального ремонта котельного оборудования в котельной Казахской школы-интерната в городе Мамлютка;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1007 тысяч тенге – на приобретение учебных пособий организациям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маслихата Мамлютского района Северо-Казахстанской области от 06.03.2012 </w:t>
      </w:r>
      <w:r>
        <w:rPr>
          <w:rFonts w:ascii="Times New Roman"/>
          <w:b w:val="false"/>
          <w:i w:val="false"/>
          <w:color w:val="000000"/>
          <w:sz w:val="28"/>
        </w:rPr>
        <w:t>N 2/2</w:t>
      </w:r>
      <w:r>
        <w:rPr>
          <w:rFonts w:ascii="Times New Roman"/>
          <w:b w:val="false"/>
          <w:i w:val="false"/>
          <w:color w:val="ff0000"/>
          <w:sz w:val="28"/>
        </w:rPr>
        <w:t xml:space="preserve">;  от 16.04.2012 </w:t>
      </w:r>
      <w:r>
        <w:rPr>
          <w:rFonts w:ascii="Times New Roman"/>
          <w:b w:val="false"/>
          <w:i w:val="false"/>
          <w:color w:val="000000"/>
          <w:sz w:val="28"/>
        </w:rPr>
        <w:t>N 3/1</w:t>
      </w:r>
      <w:r>
        <w:rPr>
          <w:rFonts w:ascii="Times New Roman"/>
          <w:b w:val="false"/>
          <w:i w:val="false"/>
          <w:color w:val="ff0000"/>
          <w:sz w:val="28"/>
        </w:rPr>
        <w:t xml:space="preserve">; 06.08.2012 </w:t>
      </w:r>
      <w:r>
        <w:rPr>
          <w:rFonts w:ascii="Times New Roman"/>
          <w:b w:val="false"/>
          <w:i w:val="false"/>
          <w:color w:val="000000"/>
          <w:sz w:val="28"/>
        </w:rPr>
        <w:t>N 5/3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02.11.2012 </w:t>
      </w:r>
      <w:r>
        <w:rPr>
          <w:rFonts w:ascii="Times New Roman"/>
          <w:b w:val="false"/>
          <w:i w:val="false"/>
          <w:color w:val="000000"/>
          <w:sz w:val="28"/>
        </w:rPr>
        <w:t>N 8/1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2012 год бюджетные кредиты из республиканского бюджета в сумме 14553 тысяч тенге для реализации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Мамлютского района Северо-Казахстанской области от 04.12.2012 </w:t>
      </w:r>
      <w:r>
        <w:rPr>
          <w:rFonts w:ascii="Times New Roman"/>
          <w:b w:val="false"/>
          <w:i w:val="false"/>
          <w:color w:val="000000"/>
          <w:sz w:val="28"/>
        </w:rPr>
        <w:t>N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на 2012 год возврат трансфертов в областной бюджет в сумме 3219 тысяч тенге в связи с упразднением ревизионных комиссий.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бюджетных программ города районного значения, поселка, аула (села), аульного (сельского) округа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перечень бюджетных программ, не подлежащих секвестру в процессе исполнения районного бюджета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расходы на оказание социальной помощи отдельным категориям нуждающихся граждан по видам на 2012 год в сумме 15107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маслихата Мамлютского района Северо-Казахстанской области от 02.11.2012 </w:t>
      </w:r>
      <w:r>
        <w:rPr>
          <w:rFonts w:ascii="Times New Roman"/>
          <w:b w:val="false"/>
          <w:i w:val="false"/>
          <w:color w:val="000000"/>
          <w:sz w:val="28"/>
        </w:rPr>
        <w:t>N 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13-1. Направить свободные остатки бюджетных средств, сложившихся на 1 января 2012 года в сумме 30335,6 тысяч тенге на расходы по бюджетным программам,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13-1 в соответствии с решением маслихата Мамлютского района Северо-Казахстанской области от 06.03.2012 </w:t>
      </w:r>
      <w:r>
        <w:rPr>
          <w:rFonts w:ascii="Times New Roman"/>
          <w:b w:val="false"/>
          <w:i w:val="false"/>
          <w:color w:val="000000"/>
          <w:sz w:val="28"/>
        </w:rPr>
        <w:t>N 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Утвердить резерв местного исполнительного органа района на 2012 год в сумме 278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Обеспечить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Установить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гражданским служащим социального обеспечения, образования, культуры и спорта, работающим в аульной (сельской)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ff0000"/>
          <w:sz w:val="28"/>
        </w:rPr>
        <w:t xml:space="preserve">- исключен решением маслихата Мамлютского района Северо-Казахстанской области от 02.11.2012 </w:t>
      </w:r>
      <w:r>
        <w:rPr>
          <w:rFonts w:ascii="Times New Roman"/>
          <w:b w:val="false"/>
          <w:i w:val="false"/>
          <w:color w:val="000000"/>
          <w:sz w:val="28"/>
        </w:rPr>
        <w:t>N 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О. Бикина                                  А. Кошанов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Р. Габбасов</w:t>
      </w:r>
    </w:p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40/1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Мамлютского района Северо-Казахстанской области от 04.12.2012 </w:t>
      </w:r>
      <w:r>
        <w:rPr>
          <w:rFonts w:ascii="Times New Roman"/>
          <w:b w:val="false"/>
          <w:i w:val="false"/>
          <w:color w:val="ff0000"/>
          <w:sz w:val="28"/>
        </w:rPr>
        <w:t>N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13"/>
        <w:gridCol w:w="853"/>
        <w:gridCol w:w="8093"/>
        <w:gridCol w:w="2193"/>
      </w:tblGrid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2105541,3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241306,1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131481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131481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53552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27642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15773,1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6645,1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</w:t>
            </w:r>
          </w:p>
        </w:tc>
      </w:tr>
      <w:tr>
        <w:trPr>
          <w:trHeight w:val="8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15455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1842714,2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1842714,2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1842714,2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33"/>
        <w:gridCol w:w="693"/>
        <w:gridCol w:w="8273"/>
        <w:gridCol w:w="2173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2124077,0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200733,3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12455,1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12295,1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54453,5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52147,5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112068,7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111184,5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193,1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674,6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19861,3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7921,8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7921,8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449,8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1361495,2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29868</w:t>
            </w:r>
          </w:p>
        </w:tc>
      </w:tr>
      <w:tr>
        <w:trPr>
          <w:trHeight w:val="17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45225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1417,8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1284764,4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1174787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42138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17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4099,4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114338,6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114338,6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26495,4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7426,7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5053,1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1041,5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269635,1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25687,8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25687,8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227174,2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76511,5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51662,7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16433,1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2729,1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96565,2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32993,6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32993,6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19312,3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16094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120,5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22972,9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22446,9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информации,укрепления государственности и формирования социального оптимизма граждан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5620,3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7773,4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7435,4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34799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19068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8261,7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8261,7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8261,7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14031,8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5738,3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5703,3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6264,5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6114,5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8804,4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8804,4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5585,4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13067,9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14561,9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14561,9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14561,9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14561,9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11791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-43394,6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43394,6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30335,6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30335,6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30335,6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40/1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93"/>
        <w:gridCol w:w="773"/>
        <w:gridCol w:w="7573"/>
        <w:gridCol w:w="1773"/>
      </w:tblGrid>
      <w:tr>
        <w:trPr>
          <w:trHeight w:val="9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1733100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236503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1487847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1487847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1487847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13"/>
        <w:gridCol w:w="693"/>
        <w:gridCol w:w="7813"/>
        <w:gridCol w:w="1773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1733100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186325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107012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</w:t>
            </w:r>
          </w:p>
        </w:tc>
      </w:tr>
      <w:tr>
        <w:trPr>
          <w:trHeight w:val="12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1284847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1253193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1194701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17914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16460</w:t>
            </w:r>
          </w:p>
        </w:tc>
      </w:tr>
      <w:tr>
        <w:trPr>
          <w:trHeight w:val="12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информации,укрепления государственности и формирования социального оптимизма граждан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-3026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-3026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</w:t>
            </w:r>
          </w:p>
        </w:tc>
      </w:tr>
    </w:tbl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40/1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13"/>
        <w:gridCol w:w="793"/>
        <w:gridCol w:w="7473"/>
        <w:gridCol w:w="2013"/>
      </w:tblGrid>
      <w:tr>
        <w:trPr>
          <w:trHeight w:val="13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1803367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253058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134512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134512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1540946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1540946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1540946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73"/>
        <w:gridCol w:w="773"/>
        <w:gridCol w:w="7413"/>
        <w:gridCol w:w="201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1803367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110133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1328567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1295725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1233488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112460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112460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20807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19117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информации,укрепления государственности и формирования социального оптимизма граждан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8319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-3026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-3026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40/1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 и каждого аульного (сельского) округа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маслихата Мамлютского района Северо-Казахстанской области от 02.11.2012 </w:t>
      </w:r>
      <w:r>
        <w:rPr>
          <w:rFonts w:ascii="Times New Roman"/>
          <w:b w:val="false"/>
          <w:i w:val="false"/>
          <w:color w:val="ff0000"/>
          <w:sz w:val="28"/>
        </w:rPr>
        <w:t>N 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53"/>
        <w:gridCol w:w="913"/>
        <w:gridCol w:w="8233"/>
        <w:gridCol w:w="20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112068,7</w:t>
            </w:r>
          </w:p>
        </w:tc>
      </w:tr>
      <w:tr>
        <w:trPr>
          <w:trHeight w:val="10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112068,7</w:t>
            </w:r>
          </w:p>
        </w:tc>
      </w:tr>
      <w:tr>
        <w:trPr>
          <w:trHeight w:val="15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111184,5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1417,8</w:t>
            </w:r>
          </w:p>
        </w:tc>
      </w:tr>
      <w:tr>
        <w:trPr>
          <w:trHeight w:val="10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1417,8</w:t>
            </w:r>
          </w:p>
        </w:tc>
      </w:tr>
      <w:tr>
        <w:trPr>
          <w:trHeight w:val="12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1417,8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16773,1</w:t>
            </w:r>
          </w:p>
        </w:tc>
      </w:tr>
      <w:tr>
        <w:trPr>
          <w:trHeight w:val="14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16773,1</w:t>
            </w:r>
          </w:p>
        </w:tc>
      </w:tr>
      <w:tr>
        <w:trPr>
          <w:trHeight w:val="12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2729,1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4583,0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32993,6</w:t>
            </w:r>
          </w:p>
        </w:tc>
      </w:tr>
      <w:tr>
        <w:trPr>
          <w:trHeight w:val="14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32993,6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32993,6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дома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30149,5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библиотеки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2844,1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3088,0</w:t>
            </w:r>
          </w:p>
        </w:tc>
      </w:tr>
      <w:tr>
        <w:trPr>
          <w:trHeight w:val="14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3088,0</w:t>
            </w:r>
          </w:p>
        </w:tc>
      </w:tr>
      <w:tr>
        <w:trPr>
          <w:trHeight w:val="13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1751,0</w:t>
            </w:r>
          </w:p>
        </w:tc>
      </w:tr>
      <w:tr>
        <w:trPr>
          <w:trHeight w:val="14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1751,0</w:t>
            </w:r>
          </w:p>
        </w:tc>
      </w:tr>
      <w:tr>
        <w:trPr>
          <w:trHeight w:val="16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168092,2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53"/>
        <w:gridCol w:w="1673"/>
        <w:gridCol w:w="1713"/>
        <w:gridCol w:w="2073"/>
        <w:gridCol w:w="207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</w:tr>
      <w:tr>
        <w:trPr>
          <w:trHeight w:val="180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</w:tr>
      <w:tr>
        <w:trPr>
          <w:trHeight w:val="73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13780,5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7058,3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9058,5</w:t>
            </w:r>
          </w:p>
        </w:tc>
      </w:tr>
      <w:tr>
        <w:trPr>
          <w:trHeight w:val="9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13780,5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7058,3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9058,5</w:t>
            </w:r>
          </w:p>
        </w:tc>
      </w:tr>
      <w:tr>
        <w:trPr>
          <w:trHeight w:val="72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7058,3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9058,5</w:t>
            </w:r>
          </w:p>
        </w:tc>
      </w:tr>
      <w:tr>
        <w:trPr>
          <w:trHeight w:val="99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8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148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207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73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507,0</w:t>
            </w:r>
          </w:p>
        </w:tc>
      </w:tr>
      <w:tr>
        <w:trPr>
          <w:trHeight w:val="99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6472,3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2382,6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4349,1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3574,0</w:t>
            </w:r>
          </w:p>
        </w:tc>
      </w:tr>
      <w:tr>
        <w:trPr>
          <w:trHeight w:val="148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6472,3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2382,6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4349,1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3574,0</w:t>
            </w:r>
          </w:p>
        </w:tc>
      </w:tr>
      <w:tr>
        <w:trPr>
          <w:trHeight w:val="99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6472,3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2382,6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4349,1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3574,0</w:t>
            </w:r>
          </w:p>
        </w:tc>
      </w:tr>
      <w:tr>
        <w:trPr>
          <w:trHeight w:val="24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6094,5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3286,0</w:t>
            </w:r>
          </w:p>
        </w:tc>
      </w:tr>
      <w:tr>
        <w:trPr>
          <w:trHeight w:val="24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49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8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8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8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13665,6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14425,6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11266,5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13183,5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3"/>
        <w:gridCol w:w="2053"/>
        <w:gridCol w:w="1653"/>
        <w:gridCol w:w="1653"/>
        <w:gridCol w:w="1773"/>
        <w:gridCol w:w="191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</w:tr>
      <w:tr>
        <w:trPr>
          <w:trHeight w:val="73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9291,1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9009,3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9947,3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7904,9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7348,8</w:t>
            </w:r>
          </w:p>
        </w:tc>
      </w:tr>
      <w:tr>
        <w:trPr>
          <w:trHeight w:val="148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9291,1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9009,3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9947,3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7904,9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7348,8</w:t>
            </w:r>
          </w:p>
        </w:tc>
      </w:tr>
      <w:tr>
        <w:trPr>
          <w:trHeight w:val="130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9291,1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9009,3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9947,3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7904,9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9339,8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7348,8</w:t>
            </w:r>
          </w:p>
        </w:tc>
      </w:tr>
      <w:tr>
        <w:trPr>
          <w:trHeight w:val="99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8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148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115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73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4152,3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3489,8</w:t>
            </w:r>
          </w:p>
        </w:tc>
      </w:tr>
      <w:tr>
        <w:trPr>
          <w:trHeight w:val="148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4152,3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3489,8</w:t>
            </w:r>
          </w:p>
        </w:tc>
      </w:tr>
      <w:tr>
        <w:trPr>
          <w:trHeight w:val="99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4152,3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3489,8</w:t>
            </w:r>
          </w:p>
        </w:tc>
      </w:tr>
      <w:tr>
        <w:trPr>
          <w:trHeight w:val="24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3260,0</w:t>
            </w:r>
          </w:p>
        </w:tc>
      </w:tr>
      <w:tr>
        <w:trPr>
          <w:trHeight w:val="24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229,8</w:t>
            </w:r>
          </w:p>
        </w:tc>
      </w:tr>
      <w:tr>
        <w:trPr>
          <w:trHeight w:val="49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8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8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8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8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10219,8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9250,8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14954,6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16489,9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10663,8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10920,6</w:t>
            </w:r>
          </w:p>
        </w:tc>
      </w:tr>
    </w:tbl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40/1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 и каждого аульного (сельского)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73"/>
        <w:gridCol w:w="833"/>
        <w:gridCol w:w="7653"/>
        <w:gridCol w:w="15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107012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107012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41164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41164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дома культуры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библиотеки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1773"/>
        <w:gridCol w:w="1973"/>
        <w:gridCol w:w="1733"/>
        <w:gridCol w:w="1793"/>
        <w:gridCol w:w="233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</w:tr>
      <w:tr>
        <w:trPr>
          <w:trHeight w:val="139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Кызыласкер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</w:tr>
      <w:tr>
        <w:trPr>
          <w:trHeight w:val="49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</w:t>
            </w:r>
          </w:p>
        </w:tc>
      </w:tr>
      <w:tr>
        <w:trPr>
          <w:trHeight w:val="73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</w:t>
            </w:r>
          </w:p>
        </w:tc>
      </w:tr>
      <w:tr>
        <w:trPr>
          <w:trHeight w:val="9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</w:t>
            </w:r>
          </w:p>
        </w:tc>
      </w:tr>
      <w:tr>
        <w:trPr>
          <w:trHeight w:val="24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73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24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49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49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</w:t>
            </w:r>
          </w:p>
        </w:tc>
      </w:tr>
      <w:tr>
        <w:trPr>
          <w:trHeight w:val="73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</w:t>
            </w:r>
          </w:p>
        </w:tc>
      </w:tr>
      <w:tr>
        <w:trPr>
          <w:trHeight w:val="49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</w:t>
            </w:r>
          </w:p>
        </w:tc>
      </w:tr>
      <w:tr>
        <w:trPr>
          <w:trHeight w:val="24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24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24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1733"/>
        <w:gridCol w:w="1873"/>
        <w:gridCol w:w="2053"/>
        <w:gridCol w:w="1713"/>
        <w:gridCol w:w="213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</w:tr>
      <w:tr>
        <w:trPr>
          <w:trHeight w:val="49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</w:p>
        </w:tc>
      </w:tr>
      <w:tr>
        <w:trPr>
          <w:trHeight w:val="73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</w:p>
        </w:tc>
      </w:tr>
      <w:tr>
        <w:trPr>
          <w:trHeight w:val="9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</w:p>
        </w:tc>
      </w:tr>
      <w:tr>
        <w:trPr>
          <w:trHeight w:val="24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73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4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49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</w:tr>
      <w:tr>
        <w:trPr>
          <w:trHeight w:val="73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</w:tr>
      <w:tr>
        <w:trPr>
          <w:trHeight w:val="49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</w:tr>
      <w:tr>
        <w:trPr>
          <w:trHeight w:val="24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24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24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</w:t>
            </w:r>
          </w:p>
        </w:tc>
      </w:tr>
    </w:tbl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40/1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 и каждого аульного (сельского) округа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93"/>
        <w:gridCol w:w="793"/>
        <w:gridCol w:w="7613"/>
        <w:gridCol w:w="16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110133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110133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15578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42746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дома культуры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библиотеки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173269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3"/>
        <w:gridCol w:w="1913"/>
        <w:gridCol w:w="1953"/>
        <w:gridCol w:w="1773"/>
        <w:gridCol w:w="1773"/>
        <w:gridCol w:w="225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</w:tr>
      <w:tr>
        <w:trPr>
          <w:trHeight w:val="130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Кызыласкер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</w:tr>
      <w:tr>
        <w:trPr>
          <w:trHeight w:val="49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</w:t>
            </w:r>
          </w:p>
        </w:tc>
      </w:tr>
      <w:tr>
        <w:trPr>
          <w:trHeight w:val="73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</w:t>
            </w:r>
          </w:p>
        </w:tc>
      </w:tr>
      <w:tr>
        <w:trPr>
          <w:trHeight w:val="99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</w:t>
            </w:r>
          </w:p>
        </w:tc>
      </w:tr>
      <w:tr>
        <w:trPr>
          <w:trHeight w:val="24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73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24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49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49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73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49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24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</w:t>
            </w:r>
          </w:p>
        </w:tc>
      </w:tr>
      <w:tr>
        <w:trPr>
          <w:trHeight w:val="24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</w:tr>
      <w:tr>
        <w:trPr>
          <w:trHeight w:val="24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1693"/>
        <w:gridCol w:w="1893"/>
        <w:gridCol w:w="1933"/>
        <w:gridCol w:w="1953"/>
        <w:gridCol w:w="211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</w:tr>
      <w:tr>
        <w:trPr>
          <w:trHeight w:val="49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</w:t>
            </w:r>
          </w:p>
        </w:tc>
      </w:tr>
      <w:tr>
        <w:trPr>
          <w:trHeight w:val="73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</w:t>
            </w:r>
          </w:p>
        </w:tc>
      </w:tr>
      <w:tr>
        <w:trPr>
          <w:trHeight w:val="99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73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49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</w:t>
            </w:r>
          </w:p>
        </w:tc>
      </w:tr>
      <w:tr>
        <w:trPr>
          <w:trHeight w:val="73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</w:t>
            </w:r>
          </w:p>
        </w:tc>
      </w:tr>
      <w:tr>
        <w:trPr>
          <w:trHeight w:val="49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11676</w:t>
            </w:r>
          </w:p>
        </w:tc>
      </w:tr>
    </w:tbl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40/1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213"/>
        <w:gridCol w:w="1033"/>
        <w:gridCol w:w="8173"/>
      </w:tblGrid>
      <w:tr>
        <w:trPr>
          <w:trHeight w:val="16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40/1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социальной помощи отдельным категориям нуждающихся граждан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в редакции решения маслихата Мамлютского района Северо-Казахстанской области от 02.11.2012 </w:t>
      </w:r>
      <w:r>
        <w:rPr>
          <w:rFonts w:ascii="Times New Roman"/>
          <w:b w:val="false"/>
          <w:i w:val="false"/>
          <w:color w:val="ff0000"/>
          <w:sz w:val="28"/>
        </w:rPr>
        <w:t>N 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9933"/>
        <w:gridCol w:w="1953"/>
      </w:tblGrid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выплаты на санаторно-курортное лечение отдельным категориям 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Санаторно-курортное лечение участников и инвалидов ВОВ, лиц, приравненных по льготам и гарантиям к участникам и инвалидам ВОВ и другим категориям 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на посещение бани и парикмахерской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для обеспечения дополнительного питания гражданам, больным активным туберкулезом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льготное зубопротезирование участников и инвалидов Великой Отечественной войны и лиц, приравненных по льготам и гарантиям к участникам и инвалидам Великой Отечественной войны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подписку периодических изданий участникам и инвалидам Великой Отечественной войны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на коммунальные услуги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социальной помощи в рамках Программы по стимулированию рождаемости "Фонд поколений" за счет средств бюджета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социальной помощи в рамках Программы по стимулированию рождаемости "Фонд поколений" за счет средств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выплаты врачам и выпускникам медецинских учебных заведений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</w:t>
            </w:r>
          </w:p>
        </w:tc>
      </w:tr>
    </w:tbl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40/1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9 в соответствии с решением маслихата Мамлютского района Северо-Казахстанской области от 06.03.2012 </w:t>
      </w:r>
      <w:r>
        <w:rPr>
          <w:rFonts w:ascii="Times New Roman"/>
          <w:b w:val="false"/>
          <w:i w:val="false"/>
          <w:color w:val="ff0000"/>
          <w:sz w:val="28"/>
        </w:rPr>
        <w:t>N 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73"/>
        <w:gridCol w:w="753"/>
        <w:gridCol w:w="7853"/>
        <w:gridCol w:w="15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20743,2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19503,2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15932,5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1593,5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1578,9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5585,4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5585,4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5585,4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