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5c27" w14:textId="0565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родителям или иным законным представителям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№ 439 от 21 декабря 2011 года. Зарегистрировано Департаментом юстиции Атырауской области 27 декабря 2011 года № 4-3-165. Утратило силу - постановлением Махамбетского районного акимата Атырауской области от 06 февраля 2013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Махамбетского районного акимата Атырауской области от 06.02.2013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постановлением акимата Атырауской области от 21 ноября 2011 года № 329 "О возмещении затрат родителям или иным законным представителям детей-инвалидов, обучающихся и воспитывающихся на дому"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материальную помощь в размере 2, 4 месячного расчетного показателя ежемесячно, родителям или иным законным представителям детей-инвалидов для возмещения затрат на обучение и воспитание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"Махамбетский районный отдел занятости и социальных программ" (Н.Калиев)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Арстанова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