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1fa7" w14:textId="bc61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размера и порядка оказания жилищной помощи малообеспеченным
семьям (гражданам) по Созакскому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Созакского района Южно-Казахстанской области от 26 сентября 2011 года N 283. Зарегистрировано Управлением юстиции Созакского района Южно-Казахстанской области 14 октября 2011 года N 14-12-126. Утратило силу решением Созакского районного маслихата Южно-Казахстанской области от 27 июня 2012 года N 37</w:t>
      </w:r>
    </w:p>
    <w:p>
      <w:pPr>
        <w:spacing w:after="0"/>
        <w:ind w:left="0"/>
        <w:jc w:val="both"/>
      </w:pPr>
      <w:r>
        <w:rPr>
          <w:rFonts w:ascii="Times New Roman"/>
          <w:b w:val="false"/>
          <w:i w:val="false"/>
          <w:color w:val="ff0000"/>
          <w:sz w:val="28"/>
        </w:rPr>
        <w:t xml:space="preserve">       Сноска. Утратило силу решением Созакского районного маслихата Южно-Казахстанской области от 27.06.2012 </w:t>
      </w:r>
      <w:r>
        <w:rPr>
          <w:rFonts w:ascii="Times New Roman"/>
          <w:b w:val="false"/>
          <w:i w:val="false"/>
          <w:color w:val="ff0000"/>
          <w:sz w:val="28"/>
        </w:rPr>
        <w:t>N 37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постановление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«Правилами предоставления жилищной помощи» и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Созакский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размер и порядок оказания жилищной помощи малообеспеченным семьям (гражданам) по Созакскому району</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ХХХХІІ сессии</w:t>
      </w:r>
      <w:r>
        <w:br/>
      </w:r>
      <w:r>
        <w:rPr>
          <w:rFonts w:ascii="Times New Roman"/>
          <w:b w:val="false"/>
          <w:i w:val="false"/>
          <w:color w:val="000000"/>
          <w:sz w:val="28"/>
        </w:rPr>
        <w:t>
</w:t>
      </w:r>
      <w:r>
        <w:rPr>
          <w:rFonts w:ascii="Times New Roman"/>
          <w:b w:val="false"/>
          <w:i/>
          <w:color w:val="000000"/>
          <w:sz w:val="28"/>
        </w:rPr>
        <w:t>      Созакского районного маслихата:            С.Танатов</w:t>
      </w:r>
      <w:r>
        <w:br/>
      </w:r>
      <w:r>
        <w:rPr>
          <w:rFonts w:ascii="Times New Roman"/>
          <w:b w:val="false"/>
          <w:i w:val="false"/>
          <w:color w:val="000000"/>
          <w:sz w:val="28"/>
        </w:rPr>
        <w:t>
</w:t>
      </w:r>
      <w:r>
        <w:rPr>
          <w:rFonts w:ascii="Times New Roman"/>
          <w:b w:val="false"/>
          <w:i/>
          <w:color w:val="000000"/>
          <w:sz w:val="28"/>
        </w:rPr>
        <w:t>      Секретарь Созакского</w:t>
      </w:r>
      <w:r>
        <w:br/>
      </w:r>
      <w:r>
        <w:rPr>
          <w:rFonts w:ascii="Times New Roman"/>
          <w:b w:val="false"/>
          <w:i w:val="false"/>
          <w:color w:val="000000"/>
          <w:sz w:val="28"/>
        </w:rPr>
        <w:t>
</w:t>
      </w:r>
      <w:r>
        <w:rPr>
          <w:rFonts w:ascii="Times New Roman"/>
          <w:b w:val="false"/>
          <w:i/>
          <w:color w:val="000000"/>
          <w:sz w:val="28"/>
        </w:rPr>
        <w:t>      районного маслихата:                       А. Аймурзаев</w:t>
      </w:r>
    </w:p>
    <w:bookmarkEnd w:id="0"/>
    <w:bookmarkStart w:name="z4" w:id="1"/>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Созакского районного</w:t>
      </w:r>
      <w:r>
        <w:br/>
      </w:r>
      <w:r>
        <w:rPr>
          <w:rFonts w:ascii="Times New Roman"/>
          <w:b w:val="false"/>
          <w:i w:val="false"/>
          <w:color w:val="000000"/>
          <w:sz w:val="28"/>
        </w:rPr>
        <w:t>
      маслихата от 26 сентября</w:t>
      </w:r>
      <w:r>
        <w:br/>
      </w:r>
      <w:r>
        <w:rPr>
          <w:rFonts w:ascii="Times New Roman"/>
          <w:b w:val="false"/>
          <w:i w:val="false"/>
          <w:color w:val="000000"/>
          <w:sz w:val="28"/>
        </w:rPr>
        <w:t>
      2011 года № 283</w:t>
      </w:r>
    </w:p>
    <w:bookmarkEnd w:id="1"/>
    <w:p>
      <w:pPr>
        <w:spacing w:after="0"/>
        <w:ind w:left="0"/>
        <w:jc w:val="left"/>
      </w:pPr>
      <w:r>
        <w:rPr>
          <w:rFonts w:ascii="Times New Roman"/>
          <w:b/>
          <w:i w:val="false"/>
          <w:color w:val="000000"/>
        </w:rPr>
        <w:t xml:space="preserve">       Размер и порядок оказания жилищной помощи малообеспеченным семьям (гражданам) по Созакскому району</w:t>
      </w:r>
      <w:r>
        <w:br/>
      </w:r>
      <w:r>
        <w:rPr>
          <w:rFonts w:ascii="Times New Roman"/>
          <w:b/>
          <w:i w:val="false"/>
          <w:color w:val="000000"/>
        </w:rPr>
        <w:t>
      </w:t>
      </w:r>
      <w:r>
        <w:br/>
      </w:r>
      <w:r>
        <w:rPr>
          <w:rFonts w:ascii="Times New Roman"/>
          <w:b/>
          <w:i w:val="false"/>
          <w:color w:val="000000"/>
        </w:rPr>
        <w:t>
      1. Порядок оказания жилищной помощи</w:t>
      </w:r>
    </w:p>
    <w:p>
      <w:pPr>
        <w:spacing w:after="0"/>
        <w:ind w:left="0"/>
        <w:jc w:val="both"/>
      </w:pPr>
      <w:r>
        <w:rPr>
          <w:rFonts w:ascii="Times New Roman"/>
          <w:b w:val="false"/>
          <w:i w:val="false"/>
          <w:color w:val="000000"/>
          <w:sz w:val="28"/>
        </w:rPr>
        <w:t>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 установленного местным представительным органом.</w:t>
      </w:r>
      <w:r>
        <w:br/>
      </w:r>
      <w:r>
        <w:rPr>
          <w:rFonts w:ascii="Times New Roman"/>
          <w:b w:val="false"/>
          <w:i w:val="false"/>
          <w:color w:val="000000"/>
          <w:sz w:val="28"/>
        </w:rPr>
        <w:t>
      Доля предельно-допустимых расходов семьи в месяц на капитальный ремонт и (или) взносы на накопление средств на капитальный ремонт общего имущества объекта кондоминиума, потребления коммунальных услуг, на арендную плату за пользование жилищем, а также на услуги связи в части увеличения абонентской платы за телефон, подключенный к сети телекоммуникаций, устанавливается к совокупному доходу семьи (лица) в размере 20 процентов.</w:t>
      </w:r>
      <w:r>
        <w:br/>
      </w:r>
      <w:r>
        <w:rPr>
          <w:rFonts w:ascii="Times New Roman"/>
          <w:b w:val="false"/>
          <w:i w:val="false"/>
          <w:color w:val="000000"/>
          <w:sz w:val="28"/>
        </w:rPr>
        <w:t>
      Лица, имеющие в частной собственности более одной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2. Для назначения жилищной помощи гражданин (семья) (далее – заявитель) обращается в уполномоченный орган, осуществляющий назначение жилищной помощи (далее -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 (гражданина);</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 - 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3. Документы представляются в уполномоченный орган, в подлинниках и копиях. После сверки подлинники документов возвращаются заявителю.</w:t>
      </w:r>
      <w:r>
        <w:br/>
      </w:r>
      <w:r>
        <w:rPr>
          <w:rFonts w:ascii="Times New Roman"/>
          <w:b w:val="false"/>
          <w:i w:val="false"/>
          <w:color w:val="000000"/>
          <w:sz w:val="28"/>
        </w:rPr>
        <w:t>
      Заверенные работниками уполномоченного органа копии документов формируются в дело.</w:t>
      </w:r>
      <w:r>
        <w:br/>
      </w:r>
      <w:r>
        <w:rPr>
          <w:rFonts w:ascii="Times New Roman"/>
          <w:b w:val="false"/>
          <w:i w:val="false"/>
          <w:color w:val="000000"/>
          <w:sz w:val="28"/>
        </w:rPr>
        <w:t>
      4. Уполномоченный орган в течение пятнадцати календарных дней со дня предоставления необходимых для назначения жилищной помощи документов, а в случае если требуется получение информации от иных субъектов, должностных лиц, то в течение тридцати календарных дней, принимает решение о назначении или отказе в назначении жилищной помощи, один экземпляр которого передается заявителю.</w:t>
      </w:r>
      <w:r>
        <w:br/>
      </w:r>
      <w:r>
        <w:rPr>
          <w:rFonts w:ascii="Times New Roman"/>
          <w:b w:val="false"/>
          <w:i w:val="false"/>
          <w:color w:val="000000"/>
          <w:sz w:val="28"/>
        </w:rPr>
        <w:t>
      5.Жилищная помощь назначается с месяца подачи заявления сроком до конца текущего года (до 31 декабря), с ежеквартальным предоставлением сведений о доходах и регистрации состава семьи в данном жилье.</w:t>
      </w:r>
      <w:r>
        <w:br/>
      </w:r>
      <w:r>
        <w:rPr>
          <w:rFonts w:ascii="Times New Roman"/>
          <w:b w:val="false"/>
          <w:i w:val="false"/>
          <w:color w:val="000000"/>
          <w:sz w:val="28"/>
        </w:rPr>
        <w:t>
      6. Получатель жилищной помощи информирует уполномоченный орган об обстоятельствах, которые могут служить основанием для изменения размера жилищной помощи, а также о случаях ее неверного начисления.</w:t>
      </w:r>
      <w:r>
        <w:br/>
      </w:r>
      <w:r>
        <w:rPr>
          <w:rFonts w:ascii="Times New Roman"/>
          <w:b w:val="false"/>
          <w:i w:val="false"/>
          <w:color w:val="000000"/>
          <w:sz w:val="28"/>
        </w:rPr>
        <w:t>
      7. При возникновении обстоятельств, влияющих на размер жилищной помощи, производится перерасчет, начиная с месяца, следующего за тем месяцем, в котором наступили соответствующие изменения.</w:t>
      </w:r>
      <w:r>
        <w:br/>
      </w:r>
      <w:r>
        <w:rPr>
          <w:rFonts w:ascii="Times New Roman"/>
          <w:b w:val="false"/>
          <w:i w:val="false"/>
          <w:color w:val="000000"/>
          <w:sz w:val="28"/>
        </w:rPr>
        <w:t>
      8. В случае выявления представления заявителем недостоверных сведений, повлекших за собой незаконное назначение жилищной помощи, выплата жилищной помощи прекращается на период ее назначения.</w:t>
      </w:r>
      <w:r>
        <w:br/>
      </w:r>
      <w:r>
        <w:rPr>
          <w:rFonts w:ascii="Times New Roman"/>
          <w:b w:val="false"/>
          <w:i w:val="false"/>
          <w:color w:val="000000"/>
          <w:sz w:val="28"/>
        </w:rPr>
        <w:t>
      Излишне выплаченные суммы подлежат возврату в бюджет, а в случае отказа получателем возвратить в добровольном порядке, уполномоченный орган взыскивает перечисленные выплаты в установленном законодательством Республики Казахстан порядке.</w:t>
      </w:r>
      <w:r>
        <w:br/>
      </w:r>
      <w:r>
        <w:rPr>
          <w:rFonts w:ascii="Times New Roman"/>
          <w:b w:val="false"/>
          <w:i w:val="false"/>
          <w:color w:val="000000"/>
          <w:sz w:val="28"/>
        </w:rPr>
        <w:t>
      9. В случае смерти одиноко проживающего получателя жилищной помощи выплата жилищной помощи завершается с месяца следующего за месяцем смерти.</w:t>
      </w:r>
      <w:r>
        <w:br/>
      </w:r>
      <w:r>
        <w:rPr>
          <w:rFonts w:ascii="Times New Roman"/>
          <w:b w:val="false"/>
          <w:i w:val="false"/>
          <w:color w:val="000000"/>
          <w:sz w:val="28"/>
        </w:rPr>
        <w:t>
      В случае смерти одного из членов семьи получателя жилищной помощи, производится перерасчет с месяца следующего за месяцем смерти.</w:t>
      </w:r>
      <w:r>
        <w:br/>
      </w:r>
      <w:r>
        <w:rPr>
          <w:rFonts w:ascii="Times New Roman"/>
          <w:b w:val="false"/>
          <w:i w:val="false"/>
          <w:color w:val="000000"/>
          <w:sz w:val="28"/>
        </w:rPr>
        <w:t>
      Прекращение либо перерасчет выплат в связи со смертью производится на основании списка умерших ежемесячно запрашиваемого уполномоченным органом в органах юстиции или по предоставлению сведений членами семьи.</w:t>
      </w:r>
      <w:r>
        <w:br/>
      </w:r>
      <w:r>
        <w:rPr>
          <w:rFonts w:ascii="Times New Roman"/>
          <w:b w:val="false"/>
          <w:i w:val="false"/>
          <w:color w:val="000000"/>
          <w:sz w:val="28"/>
        </w:rPr>
        <w:t>
      10. Разногласия, возникшие по вопросам оказания жилищной помощи, выносятся на рассмотрение местной участковой комиссии по оказанию социальной помощи, либо разрешаются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2.Определение размера назначения жилищной помощи</w:t>
      </w:r>
    </w:p>
    <w:p>
      <w:pPr>
        <w:spacing w:after="0"/>
        <w:ind w:left="0"/>
        <w:jc w:val="both"/>
      </w:pPr>
      <w:r>
        <w:rPr>
          <w:rFonts w:ascii="Times New Roman"/>
          <w:b w:val="false"/>
          <w:i w:val="false"/>
          <w:color w:val="000000"/>
          <w:sz w:val="28"/>
        </w:rPr>
        <w:t>      11. Размер оказания жилищной помощи определяется уполномоченным органом, исходя из совокупного дохода семьи или дохода гражданина претендующего на получение жилищной помощи, который определяется действующим законодательством для назначения адресной социальной помощи.</w:t>
      </w:r>
      <w:r>
        <w:br/>
      </w:r>
      <w:r>
        <w:rPr>
          <w:rFonts w:ascii="Times New Roman"/>
          <w:b w:val="false"/>
          <w:i w:val="false"/>
          <w:color w:val="000000"/>
          <w:sz w:val="28"/>
        </w:rPr>
        <w:t>
      12. Совокупный доход гражданина (семьи) исчисляется уполномоченным органом за квартал, предшествовавший кварталу обращения за назначением жилищной помощи. В совокупный доход семьи включаются все виды доходов, кроме жилищной помощи, фактически полученных в денежной или натуральной форме за установленный период времени.</w:t>
      </w:r>
      <w:r>
        <w:br/>
      </w:r>
      <w:r>
        <w:rPr>
          <w:rFonts w:ascii="Times New Roman"/>
          <w:b w:val="false"/>
          <w:i w:val="false"/>
          <w:color w:val="000000"/>
          <w:sz w:val="28"/>
        </w:rPr>
        <w:t>
      13. При предоставлении документов, подтверждающих доход гражданина, безработными лицами предоставляются документы подтверждающие их регистрацию в качестве безработных в уполномоченных органах по вопросам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1 и 2 группы, детьми инвалидами до 16 лет, лицами старше восьмидесяти лет, детьми в возрасте до трех лет.</w:t>
      </w:r>
      <w:r>
        <w:br/>
      </w:r>
      <w:r>
        <w:rPr>
          <w:rFonts w:ascii="Times New Roman"/>
          <w:b w:val="false"/>
          <w:i w:val="false"/>
          <w:color w:val="000000"/>
          <w:sz w:val="28"/>
        </w:rPr>
        <w:t>
      14. Доля предельно допустимых расходов в пределах установленных норм устанавливается в размере 20 процентов от совокупного дохода.</w:t>
      </w:r>
      <w:r>
        <w:br/>
      </w:r>
      <w:r>
        <w:rPr>
          <w:rFonts w:ascii="Times New Roman"/>
          <w:b w:val="false"/>
          <w:i w:val="false"/>
          <w:color w:val="000000"/>
          <w:sz w:val="28"/>
        </w:rPr>
        <w:t>
      15.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w:t>
      </w:r>
    </w:p>
    <w:p>
      <w:pPr>
        <w:spacing w:after="0"/>
        <w:ind w:left="0"/>
        <w:jc w:val="both"/>
      </w:pPr>
      <w:r>
        <w:rPr>
          <w:rFonts w:ascii="Times New Roman"/>
          <w:b w:val="false"/>
          <w:i w:val="false"/>
          <w:color w:val="000000"/>
          <w:sz w:val="28"/>
        </w:rPr>
        <w:t>      3. Порядок выплаты жилищной помощи</w:t>
      </w:r>
    </w:p>
    <w:p>
      <w:pPr>
        <w:spacing w:after="0"/>
        <w:ind w:left="0"/>
        <w:jc w:val="both"/>
      </w:pPr>
      <w:r>
        <w:rPr>
          <w:rFonts w:ascii="Times New Roman"/>
          <w:b w:val="false"/>
          <w:i w:val="false"/>
          <w:color w:val="000000"/>
          <w:sz w:val="28"/>
        </w:rPr>
        <w:t>      16.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Перечисление денежных сумм на счета производится уполномоченным органом ежемесячно.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