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8f0a" w14:textId="8688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категории автостоянок (паркингов) и увеличении размеров базовых ставок налога на земли,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09 июня 2011 года N 33/6. Зарегистрировано Управлением юстиции города Усть-Каменогорска Департамента юстиции Восточно-Казахстанской области 07 июля 2011 года за N 5-1-167. Утратило силу - решением Усть-Каменогорского городского маслихата Восточно-Казахстанской области от 17 мая 2018 года № 30/4-VI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Усть-Каменогорского городского маслихата Восточно-Казахстанской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30/4-VI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- в редакции решения Усть-Каменогорского городского маслихата Восточно-Казахстанской области от 24.07.2014 </w:t>
      </w:r>
      <w:r>
        <w:rPr>
          <w:rFonts w:ascii="Times New Roman"/>
          <w:b w:val="false"/>
          <w:i w:val="false"/>
          <w:color w:val="ff0000"/>
          <w:sz w:val="28"/>
        </w:rPr>
        <w:t>№ 30/5-V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увеличенные, в зависимости от категории автостоянок, размеры базовых ставок на земли, выделенные под автостоянки (паркинги), подлежащие налогообложению по базовым ставкам на земли населенных пунктов, за исключением земель, занятых жилищным фондом, в том числе, строениями и сооружениями при нем,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город Усть-Каменогорск близлежащим населенным пунктом, базовые ставки на земли которого будут применяться при исчислении налога на земли других категорий, выделенных под автостоянки (паркинги).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6"/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  <w:bookmarkEnd w:id="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Бергалиев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Головатюк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Усть-Каменогорского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9 июня 2011 года № 33/6</w:t>
                  </w:r>
                </w:p>
              </w:tc>
            </w:tr>
          </w:tbl>
          <w:p/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5"/>
        <w:gridCol w:w="8119"/>
        <w:gridCol w:w="2346"/>
      </w:tblGrid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(паркинги) закрытого типа, автостоянки (паркинги) открытого типа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с пандусами (рампами)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Механизированные автостоянки (паркинги)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Усть-Каменогорского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9 июня 2011 года № 33/6</w:t>
                  </w:r>
                </w:p>
              </w:tc>
            </w:tr>
          </w:tbl>
          <w:p/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базовых ставок земельного налога автостоянок</w:t>
      </w:r>
      <w:r>
        <w:br/>
      </w:r>
      <w:r>
        <w:rPr>
          <w:rFonts w:ascii="Times New Roman"/>
          <w:b/>
          <w:i w:val="false"/>
          <w:color w:val="000000"/>
        </w:rPr>
        <w:t>(паркингов), в зависимости от категории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7"/>
        <w:gridCol w:w="4412"/>
        <w:gridCol w:w="5351"/>
      </w:tblGrid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базовой ставки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раз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раз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