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ad1f" w14:textId="fd5a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от 23 июля 2010 года № 26/4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Усть-Каменогорского городского маслихата Восточно-Казахстанской области от 09 июня 2011 года N 33/7. Зарегистрировано Управлением юстиции города Усть-Каменогорска Департамента юстиции Восточно-Казахстанской области 07 июля 2011 года за N 5-1-168. Утратило силу - решением Усть-Каменогорского городского маслихата Восточно-Казахстанской области от 23 декабря 2014 года N 34/5-V</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Усть-Каменогорского городского маслихата Восточно-Казахстанской области от 23.12.2014 N 34/5-V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 жилищных отношениях",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Усть-Каменогорский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определения размера и порядка оказания жилищной помощи" от 23 июля 2010 года № 26/4 (зарегистрировано в Реестре государственной регистрации нормативных правовых актов за номером 5-1-149) следующие изменения и дополнения:</w:t>
      </w:r>
      <w:r>
        <w:br/>
      </w:r>
      <w:r>
        <w:rPr>
          <w:rFonts w:ascii="Times New Roman"/>
          <w:b w:val="false"/>
          <w:i w:val="false"/>
          <w:color w:val="000000"/>
          <w:sz w:val="28"/>
        </w:rPr>
        <w:t>
      в Правилах определения размера и порядка оказания жилищной помощи,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"Получатели жилищной помощи ежеквартально представляют счета о размере целевого взноса на капитальный ремонт общего имущества объекта кондоминиума, о размере ежемесячных взносов на накопление средств на капитальный ремонт общего имущества объекта кондоминиума, на потребление коммунальных услуг за квартал, предшествующий кварталу обращения, документы, подтверждающие доходы семьи. Жилищная помощь назначается при условии регулярной оплаты текущих платежей за коммунальные услуги с месяца ее назначения.";</w:t>
      </w:r>
      <w:r>
        <w:br/>
      </w:r>
      <w:r>
        <w:rPr>
          <w:rFonts w:ascii="Times New Roman"/>
          <w:b w:val="false"/>
          <w:i w:val="false"/>
          <w:color w:val="000000"/>
          <w:sz w:val="28"/>
        </w:rPr>
        <w:t>
      </w:t>
      </w:r>
      <w:r>
        <w:rPr>
          <w:rFonts w:ascii="Times New Roman"/>
          <w:b w:val="false"/>
          <w:i w:val="false"/>
          <w:color w:val="000000"/>
          <w:sz w:val="28"/>
        </w:rPr>
        <w:t xml:space="preserve">дополнить </w:t>
      </w:r>
      <w:r>
        <w:rPr>
          <w:rFonts w:ascii="Times New Roman"/>
          <w:b w:val="false"/>
          <w:i w:val="false"/>
          <w:color w:val="000000"/>
          <w:sz w:val="28"/>
        </w:rPr>
        <w:t>пунктом 16-1</w:t>
      </w:r>
      <w:r>
        <w:rPr>
          <w:rFonts w:ascii="Times New Roman"/>
          <w:b w:val="false"/>
          <w:i w:val="false"/>
          <w:color w:val="000000"/>
          <w:sz w:val="28"/>
        </w:rPr>
        <w:t xml:space="preserve"> следующего содержания: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 Заявители несут ответственность за достоверность представленных сведений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 "Доля предельно допустимых расходов семьи устанавливается к совокупному доходу семьи в размере 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Бергалиев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городского маслихата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