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4247" w14:textId="4c64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 и об установлении категории автостоянок (паркингов)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22 декабря 2011 года N 01-02/37-7. Зарегистрировано управлением юстиции Аягозского района Департамента юстиции Восточно-Казахстанской области 12 января 2012 года за N 5-6-149. Утратило силу - решением Аягозского районного маслихата Восточно-Казахстанской области от 15 марта 2018 года № 20/149-VI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15.03.2018 № 20/149-VI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28.05.2014 № 25/178-V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относящиеся к городу Аягоз, близлежащим населенным пунктом определить город Аягоз.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Темеков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01-02/37-7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типа автостоянки по Аягозскому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8235"/>
        <w:gridCol w:w="2281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01-02/37-7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ставки налога на земли, выделенные под</w:t>
      </w:r>
      <w:r>
        <w:br/>
      </w:r>
      <w:r>
        <w:rPr>
          <w:rFonts w:ascii="Times New Roman"/>
          <w:b/>
          <w:i w:val="false"/>
          <w:color w:val="000000"/>
        </w:rPr>
        <w:t>автостоянки (паркинги), в зависимости от категории</w:t>
      </w:r>
      <w:r>
        <w:br/>
      </w:r>
      <w:r>
        <w:rPr>
          <w:rFonts w:ascii="Times New Roman"/>
          <w:b/>
          <w:i w:val="false"/>
          <w:color w:val="000000"/>
        </w:rPr>
        <w:t>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ставки налога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