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8530" w14:textId="7418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27 декабря 2010 года № 932 "Об организации общественных работ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08 июля 2011 года N 1192. Зарегистрировано управлением юстиции Глубоковского района Департамента юстиции Восточно-Казахстанской области 08 августа 2011 года за N 5-9-154. Прекращено действие по истечении срока, на который постановление было принято (письмо Глубоковского районного акимата Восточно-Казахстанской области от 04 января 2012 года N 09-02-10)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Глубоковского районного акимата ВКО от 04.01.2012 N 09-02-10).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27 декабря 2010 года № 932 «Об организации общественных работ в 2011 году» (зарегистрированное в реестре государственной регистрации нормативных правовых актов от 30 января 2011 года № 5-9-146, опубликованное 08 февраля 2011 года в районной газете «Огни Прииртышья» № 11)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«Размер оплаты труда участников утвердить в размере не менее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2011 год. На работах по уборке и благоустройству поселка Глубокое сумму оплаты утвердить из расчета 1,8 минимальной заработной платы, с дополнительной оплатой за проживание на территории повышенного радиационного риска.».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Глубоковского района Пономареву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