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798f" w14:textId="8eb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агитационных материалов и определении мест для проведения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09 марта 2011 года N 330. Зарегистрировано Управлением юстиции Зайсанского района Департамента юстиции Восточно-Казахстанской области 01 апреля 2011 года № 5-11-131. Утратило силу - постановлением  акимата Зайсанского района от 27 апреля 2011 года №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Зайсанского района от 27.04.2011 № 364.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внеочередными выборами Президента Республики Казахстан определить места для размещения агитационных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проведении встреч кандидатов в Президенты Республики Казахстан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Караталова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С. Зайнулдин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Зайсанской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 С. Андырбаев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марта 2011 года № 330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материалов кандидатов в связи</w:t>
      </w:r>
      <w:r>
        <w:br/>
      </w:r>
      <w:r>
        <w:rPr>
          <w:rFonts w:ascii="Times New Roman"/>
          <w:b/>
          <w:i w:val="false"/>
          <w:color w:val="000000"/>
        </w:rPr>
        <w:t>
с внеочередными выборами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702"/>
        <w:gridCol w:w="7960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сельские округа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учреждения районный Казпочты, здание районного дома культуры, здание управления таможни «Майкапшагай», здание детского сада № 1, здание районной неврологической больницы, здание магазинов «Сымбат», «Шалқар»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культуры, здание магазинов «Тәуекел», «Берік», «Қарлығаш»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Дайырова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семейной врачебной амбулатории, здание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«Әсет»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магазинов «Арай», «Нұрдана»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«Санжар»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Биржан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почты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Куаныш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«Қуаныш»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Кенсай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культуры, здание магазина «Ертай»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«Инабат»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«Кәусар»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Каратал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«Ақбота»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 Н. Караталов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марта 2011 года № 330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встреч кандидатов в Президенты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313"/>
        <w:gridCol w:w="58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сельские округа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Когедай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Биржан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Акарал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Үлкен Каратал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Бакасу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Дайырова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Тасбастау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Жалши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Какендалды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